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FD" w:rsidRPr="00577F25" w:rsidRDefault="00C079FD" w:rsidP="00C079FD">
      <w:pPr>
        <w:snapToGrid w:val="0"/>
        <w:jc w:val="center"/>
        <w:rPr>
          <w:rFonts w:ascii="方正小标宋简体" w:eastAsia="方正小标宋简体" w:hAnsi="宋体"/>
          <w:color w:val="000000"/>
          <w:w w:val="95"/>
          <w:sz w:val="36"/>
          <w:szCs w:val="36"/>
        </w:rPr>
      </w:pPr>
      <w:r w:rsidRPr="00577F25">
        <w:rPr>
          <w:rFonts w:ascii="方正小标宋简体" w:eastAsia="方正小标宋简体" w:hAnsi="宋体" w:hint="eastAsia"/>
          <w:color w:val="000000"/>
          <w:w w:val="95"/>
          <w:sz w:val="36"/>
          <w:szCs w:val="36"/>
        </w:rPr>
        <w:t>安阳市中小学校幼儿园规划建设条例</w:t>
      </w:r>
    </w:p>
    <w:p w:rsidR="00C079FD" w:rsidRDefault="00C079FD" w:rsidP="00C079FD">
      <w:pPr>
        <w:ind w:firstLineChars="200" w:firstLine="480"/>
        <w:rPr>
          <w:rFonts w:eastAsia="楷体_GB2312"/>
          <w:color w:val="000000"/>
          <w:sz w:val="24"/>
        </w:rPr>
      </w:pPr>
    </w:p>
    <w:p w:rsidR="00C079FD" w:rsidRPr="00577F25" w:rsidRDefault="00C079FD" w:rsidP="00C079FD">
      <w:pPr>
        <w:ind w:firstLineChars="200" w:firstLine="480"/>
        <w:rPr>
          <w:rFonts w:eastAsia="楷体_GB2312"/>
          <w:color w:val="000000"/>
          <w:sz w:val="24"/>
        </w:rPr>
      </w:pPr>
      <w:r w:rsidRPr="00577F25">
        <w:rPr>
          <w:rFonts w:eastAsia="楷体_GB2312"/>
          <w:color w:val="000000"/>
          <w:sz w:val="24"/>
        </w:rPr>
        <w:t>（</w:t>
      </w:r>
      <w:smartTag w:uri="urn:schemas-microsoft-com:office:smarttags" w:element="chsdate">
        <w:smartTagPr>
          <w:attr w:name="IsROCDate" w:val="False"/>
          <w:attr w:name="IsLunarDate" w:val="False"/>
          <w:attr w:name="Day" w:val="6"/>
          <w:attr w:name="Month" w:val="11"/>
          <w:attr w:name="Year" w:val="2021"/>
        </w:smartTagPr>
        <w:r w:rsidRPr="00577F25">
          <w:rPr>
            <w:rFonts w:eastAsia="楷体_GB2312"/>
            <w:color w:val="000000"/>
            <w:sz w:val="24"/>
          </w:rPr>
          <w:t>2021</w:t>
        </w:r>
        <w:r w:rsidRPr="00577F25">
          <w:rPr>
            <w:rFonts w:eastAsia="楷体_GB2312"/>
            <w:color w:val="000000"/>
            <w:sz w:val="24"/>
          </w:rPr>
          <w:t>年</w:t>
        </w:r>
        <w:r w:rsidRPr="00577F25">
          <w:rPr>
            <w:rFonts w:eastAsia="楷体_GB2312"/>
            <w:color w:val="000000"/>
            <w:sz w:val="24"/>
          </w:rPr>
          <w:t>11</w:t>
        </w:r>
        <w:r w:rsidRPr="00577F25">
          <w:rPr>
            <w:rFonts w:eastAsia="楷体_GB2312"/>
            <w:color w:val="000000"/>
            <w:sz w:val="24"/>
          </w:rPr>
          <w:t>月</w:t>
        </w:r>
        <w:r w:rsidRPr="00577F25">
          <w:rPr>
            <w:rFonts w:eastAsia="楷体_GB2312"/>
            <w:color w:val="000000"/>
            <w:sz w:val="24"/>
          </w:rPr>
          <w:t>6</w:t>
        </w:r>
        <w:r w:rsidRPr="00577F25">
          <w:rPr>
            <w:rFonts w:eastAsia="楷体_GB2312"/>
            <w:color w:val="000000"/>
            <w:sz w:val="24"/>
          </w:rPr>
          <w:t>日</w:t>
        </w:r>
      </w:smartTag>
      <w:r w:rsidRPr="00577F25">
        <w:rPr>
          <w:rFonts w:eastAsia="楷体_GB2312"/>
          <w:color w:val="000000"/>
          <w:sz w:val="24"/>
        </w:rPr>
        <w:t>安阳市第十四届人民代表大会常务委员会第二十六次会议通过</w:t>
      </w:r>
      <w:r w:rsidRPr="00577F25">
        <w:rPr>
          <w:rFonts w:eastAsia="楷体_GB2312"/>
          <w:color w:val="000000"/>
          <w:sz w:val="24"/>
        </w:rPr>
        <w:t xml:space="preserve">  </w:t>
      </w:r>
      <w:smartTag w:uri="urn:schemas-microsoft-com:office:smarttags" w:element="chsdate">
        <w:smartTagPr>
          <w:attr w:name="IsROCDate" w:val="False"/>
          <w:attr w:name="IsLunarDate" w:val="False"/>
          <w:attr w:name="Day" w:val="27"/>
          <w:attr w:name="Month" w:val="11"/>
          <w:attr w:name="Year" w:val="2021"/>
        </w:smartTagPr>
        <w:r w:rsidRPr="00577F25">
          <w:rPr>
            <w:rFonts w:eastAsia="楷体_GB2312"/>
            <w:color w:val="000000"/>
            <w:sz w:val="24"/>
          </w:rPr>
          <w:t>2021</w:t>
        </w:r>
        <w:r w:rsidRPr="00577F25">
          <w:rPr>
            <w:rFonts w:eastAsia="楷体_GB2312"/>
            <w:color w:val="000000"/>
            <w:sz w:val="24"/>
          </w:rPr>
          <w:t>年</w:t>
        </w:r>
        <w:r w:rsidRPr="00577F25">
          <w:rPr>
            <w:rFonts w:eastAsia="楷体_GB2312"/>
            <w:color w:val="000000"/>
            <w:sz w:val="24"/>
          </w:rPr>
          <w:t>11</w:t>
        </w:r>
        <w:r w:rsidRPr="00577F25">
          <w:rPr>
            <w:rFonts w:eastAsia="楷体_GB2312"/>
            <w:color w:val="000000"/>
            <w:sz w:val="24"/>
          </w:rPr>
          <w:t>月</w:t>
        </w:r>
        <w:r w:rsidRPr="00577F25">
          <w:rPr>
            <w:rFonts w:eastAsia="楷体_GB2312"/>
            <w:color w:val="000000"/>
            <w:sz w:val="24"/>
          </w:rPr>
          <w:t>27</w:t>
        </w:r>
        <w:r w:rsidRPr="00577F25">
          <w:rPr>
            <w:rFonts w:eastAsia="楷体_GB2312"/>
            <w:color w:val="000000"/>
            <w:sz w:val="24"/>
          </w:rPr>
          <w:t>日</w:t>
        </w:r>
      </w:smartTag>
      <w:r w:rsidRPr="00577F25">
        <w:rPr>
          <w:rFonts w:eastAsia="楷体_GB2312"/>
          <w:color w:val="000000"/>
          <w:sz w:val="24"/>
        </w:rPr>
        <w:t>河南省第十三届人民代表大会常务委员会第二十八次会议批准）</w:t>
      </w:r>
    </w:p>
    <w:p w:rsidR="00C079FD" w:rsidRPr="00577F25" w:rsidRDefault="00C079FD" w:rsidP="00C079FD">
      <w:pPr>
        <w:ind w:firstLineChars="200" w:firstLine="480"/>
        <w:rPr>
          <w:color w:val="000000"/>
          <w:sz w:val="24"/>
        </w:rPr>
      </w:pPr>
    </w:p>
    <w:p w:rsidR="00C079FD" w:rsidRPr="00577F25" w:rsidRDefault="00C079FD" w:rsidP="00C079FD">
      <w:pPr>
        <w:spacing w:line="480" w:lineRule="auto"/>
        <w:jc w:val="center"/>
        <w:rPr>
          <w:rFonts w:ascii="黑体" w:eastAsia="黑体"/>
          <w:color w:val="000000"/>
          <w:sz w:val="24"/>
        </w:rPr>
      </w:pPr>
      <w:r w:rsidRPr="00577F25">
        <w:rPr>
          <w:rFonts w:ascii="黑体" w:eastAsia="黑体" w:hAnsi="宋体" w:hint="eastAsia"/>
          <w:color w:val="000000"/>
          <w:sz w:val="24"/>
        </w:rPr>
        <w:t xml:space="preserve">目  </w:t>
      </w:r>
      <w:r>
        <w:rPr>
          <w:rFonts w:ascii="黑体" w:eastAsia="黑体" w:hAnsi="宋体" w:hint="eastAsia"/>
          <w:color w:val="000000"/>
          <w:sz w:val="24"/>
        </w:rPr>
        <w:t xml:space="preserve">  </w:t>
      </w:r>
      <w:r w:rsidRPr="00577F25">
        <w:rPr>
          <w:rFonts w:ascii="黑体" w:eastAsia="黑体" w:hAnsi="宋体" w:hint="eastAsia"/>
          <w:color w:val="000000"/>
          <w:sz w:val="24"/>
        </w:rPr>
        <w:t>录</w:t>
      </w:r>
    </w:p>
    <w:p w:rsidR="00C079FD" w:rsidRPr="00E2663D" w:rsidRDefault="00C079FD" w:rsidP="00C079FD">
      <w:pPr>
        <w:ind w:firstLineChars="675" w:firstLine="1620"/>
        <w:rPr>
          <w:rFonts w:ascii="黑体" w:eastAsia="黑体"/>
          <w:color w:val="000000"/>
          <w:sz w:val="24"/>
        </w:rPr>
      </w:pPr>
      <w:r w:rsidRPr="00E2663D">
        <w:rPr>
          <w:rFonts w:ascii="黑体" w:eastAsia="黑体" w:hAnsi="宋体" w:hint="eastAsia"/>
          <w:color w:val="000000"/>
          <w:sz w:val="24"/>
        </w:rPr>
        <w:t>第一章  总</w:t>
      </w:r>
      <w:r>
        <w:rPr>
          <w:rFonts w:ascii="黑体" w:eastAsia="黑体" w:hAnsi="宋体" w:hint="eastAsia"/>
          <w:color w:val="000000"/>
          <w:sz w:val="24"/>
        </w:rPr>
        <w:t xml:space="preserve">  </w:t>
      </w:r>
      <w:r w:rsidRPr="00E2663D">
        <w:rPr>
          <w:rFonts w:ascii="黑体" w:eastAsia="黑体" w:hAnsi="宋体" w:hint="eastAsia"/>
          <w:color w:val="000000"/>
          <w:sz w:val="24"/>
        </w:rPr>
        <w:t>则</w:t>
      </w:r>
    </w:p>
    <w:p w:rsidR="00C079FD" w:rsidRPr="00E2663D" w:rsidRDefault="00C079FD" w:rsidP="00C079FD">
      <w:pPr>
        <w:ind w:firstLineChars="675" w:firstLine="1620"/>
        <w:rPr>
          <w:rFonts w:ascii="黑体" w:eastAsia="黑体"/>
          <w:color w:val="000000"/>
          <w:sz w:val="24"/>
        </w:rPr>
      </w:pPr>
      <w:r w:rsidRPr="00E2663D">
        <w:rPr>
          <w:rFonts w:ascii="黑体" w:eastAsia="黑体" w:hAnsi="宋体" w:hint="eastAsia"/>
          <w:color w:val="000000"/>
          <w:sz w:val="24"/>
        </w:rPr>
        <w:t>第二章  规</w:t>
      </w:r>
      <w:r>
        <w:rPr>
          <w:rFonts w:ascii="黑体" w:eastAsia="黑体" w:hAnsi="宋体" w:hint="eastAsia"/>
          <w:color w:val="000000"/>
          <w:sz w:val="24"/>
        </w:rPr>
        <w:t xml:space="preserve">  </w:t>
      </w:r>
      <w:r w:rsidRPr="00E2663D">
        <w:rPr>
          <w:rFonts w:ascii="黑体" w:eastAsia="黑体" w:hAnsi="宋体" w:hint="eastAsia"/>
          <w:color w:val="000000"/>
          <w:sz w:val="24"/>
        </w:rPr>
        <w:t>划</w:t>
      </w:r>
    </w:p>
    <w:p w:rsidR="00C079FD" w:rsidRPr="00E2663D" w:rsidRDefault="00C079FD" w:rsidP="00C079FD">
      <w:pPr>
        <w:ind w:firstLineChars="675" w:firstLine="1620"/>
        <w:rPr>
          <w:rFonts w:ascii="黑体" w:eastAsia="黑体"/>
          <w:color w:val="000000"/>
          <w:sz w:val="24"/>
        </w:rPr>
      </w:pPr>
      <w:r w:rsidRPr="00E2663D">
        <w:rPr>
          <w:rFonts w:ascii="黑体" w:eastAsia="黑体" w:hAnsi="宋体" w:hint="eastAsia"/>
          <w:color w:val="000000"/>
          <w:sz w:val="24"/>
        </w:rPr>
        <w:t>第三章  建</w:t>
      </w:r>
      <w:r>
        <w:rPr>
          <w:rFonts w:ascii="黑体" w:eastAsia="黑体" w:hAnsi="宋体" w:hint="eastAsia"/>
          <w:color w:val="000000"/>
          <w:sz w:val="24"/>
        </w:rPr>
        <w:t xml:space="preserve">  </w:t>
      </w:r>
      <w:r w:rsidRPr="00E2663D">
        <w:rPr>
          <w:rFonts w:ascii="黑体" w:eastAsia="黑体" w:hAnsi="宋体" w:hint="eastAsia"/>
          <w:color w:val="000000"/>
          <w:sz w:val="24"/>
        </w:rPr>
        <w:t>设</w:t>
      </w:r>
    </w:p>
    <w:p w:rsidR="00C079FD" w:rsidRPr="00E2663D" w:rsidRDefault="00C079FD" w:rsidP="00C079FD">
      <w:pPr>
        <w:ind w:firstLineChars="675" w:firstLine="1620"/>
        <w:rPr>
          <w:rFonts w:ascii="黑体" w:eastAsia="黑体"/>
          <w:color w:val="000000"/>
          <w:sz w:val="24"/>
        </w:rPr>
      </w:pPr>
      <w:r w:rsidRPr="00E2663D">
        <w:rPr>
          <w:rFonts w:ascii="黑体" w:eastAsia="黑体" w:hAnsi="宋体" w:hint="eastAsia"/>
          <w:color w:val="000000"/>
          <w:sz w:val="24"/>
        </w:rPr>
        <w:t>第四章  配建和移交</w:t>
      </w:r>
    </w:p>
    <w:p w:rsidR="00C079FD" w:rsidRPr="00E2663D" w:rsidRDefault="00C079FD" w:rsidP="00C079FD">
      <w:pPr>
        <w:ind w:firstLineChars="675" w:firstLine="1620"/>
        <w:rPr>
          <w:rFonts w:ascii="黑体" w:eastAsia="黑体"/>
          <w:color w:val="000000"/>
          <w:sz w:val="24"/>
        </w:rPr>
      </w:pPr>
      <w:r w:rsidRPr="00E2663D">
        <w:rPr>
          <w:rFonts w:ascii="黑体" w:eastAsia="黑体" w:hAnsi="宋体" w:hint="eastAsia"/>
          <w:color w:val="000000"/>
          <w:sz w:val="24"/>
        </w:rPr>
        <w:t>第五章  法律责任</w:t>
      </w:r>
    </w:p>
    <w:p w:rsidR="00C079FD" w:rsidRPr="00E2663D" w:rsidRDefault="00C079FD" w:rsidP="00C079FD">
      <w:pPr>
        <w:ind w:firstLineChars="675" w:firstLine="1620"/>
        <w:rPr>
          <w:rFonts w:ascii="黑体" w:eastAsia="黑体" w:hAnsi="宋体"/>
          <w:color w:val="000000"/>
          <w:sz w:val="24"/>
        </w:rPr>
      </w:pPr>
      <w:r w:rsidRPr="00E2663D">
        <w:rPr>
          <w:rFonts w:ascii="黑体" w:eastAsia="黑体" w:hAnsi="宋体" w:hint="eastAsia"/>
          <w:color w:val="000000"/>
          <w:sz w:val="24"/>
        </w:rPr>
        <w:t>第六章  附</w:t>
      </w:r>
      <w:r>
        <w:rPr>
          <w:rFonts w:ascii="黑体" w:eastAsia="黑体" w:hAnsi="宋体" w:hint="eastAsia"/>
          <w:color w:val="000000"/>
          <w:sz w:val="24"/>
        </w:rPr>
        <w:t xml:space="preserve">  </w:t>
      </w:r>
      <w:r w:rsidRPr="00E2663D">
        <w:rPr>
          <w:rFonts w:ascii="黑体" w:eastAsia="黑体" w:hAnsi="宋体" w:hint="eastAsia"/>
          <w:color w:val="000000"/>
          <w:sz w:val="24"/>
        </w:rPr>
        <w:t>则</w:t>
      </w:r>
    </w:p>
    <w:p w:rsidR="00C079FD" w:rsidRDefault="00C079FD" w:rsidP="00C079FD">
      <w:pPr>
        <w:pStyle w:val="2"/>
      </w:pPr>
      <w:r>
        <w:br w:type="page"/>
      </w:r>
      <w:r w:rsidRPr="00577F25">
        <w:lastRenderedPageBreak/>
        <w:t>第一章</w:t>
      </w:r>
      <w:r>
        <w:rPr>
          <w:rFonts w:hint="eastAsia"/>
        </w:rPr>
        <w:t xml:space="preserve">  </w:t>
      </w:r>
      <w:r w:rsidRPr="00577F25">
        <w:t>总</w:t>
      </w:r>
      <w:r>
        <w:rPr>
          <w:rFonts w:hint="eastAsia"/>
        </w:rPr>
        <w:t xml:space="preserve">  </w:t>
      </w:r>
      <w:r w:rsidRPr="00577F25">
        <w:t>则</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第一条</w:t>
      </w:r>
      <w:r>
        <w:rPr>
          <w:rFonts w:hAnsi="宋体" w:hint="eastAsia"/>
          <w:color w:val="000000"/>
          <w:sz w:val="24"/>
        </w:rPr>
        <w:t xml:space="preserve">  </w:t>
      </w:r>
      <w:r w:rsidRPr="00577F25">
        <w:rPr>
          <w:rFonts w:hAnsi="宋体"/>
          <w:color w:val="000000"/>
          <w:sz w:val="24"/>
        </w:rPr>
        <w:t>为了加强中小学校、幼儿园规划建设，促进教育事业健康发展，根据《中华人民共和国教育法》《中华人民共和国义务教育法》《中华人民共和国城乡规划法》等法律、法规，结合本市实际，制定本条例。</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本市行政区域内中小学校、幼儿园的规划建设活动，适用本条例。</w:t>
      </w:r>
    </w:p>
    <w:p w:rsidR="00C079FD" w:rsidRPr="00577F25" w:rsidRDefault="00C079FD" w:rsidP="00C079FD">
      <w:pPr>
        <w:ind w:firstLineChars="200" w:firstLine="480"/>
        <w:rPr>
          <w:color w:val="000000"/>
          <w:sz w:val="24"/>
        </w:rPr>
      </w:pPr>
      <w:r w:rsidRPr="00577F25">
        <w:rPr>
          <w:rFonts w:hAnsi="宋体"/>
          <w:color w:val="000000"/>
          <w:sz w:val="24"/>
        </w:rPr>
        <w:t>本条例所称中小学校，是指实施初等教育和中等教育的学校，包括小学、初级中学、高级中学等学校。</w:t>
      </w:r>
    </w:p>
    <w:p w:rsidR="00C079FD" w:rsidRPr="00577F25" w:rsidRDefault="00C079FD" w:rsidP="00C079FD">
      <w:pPr>
        <w:ind w:firstLineChars="200" w:firstLine="480"/>
        <w:rPr>
          <w:color w:val="000000"/>
          <w:sz w:val="24"/>
        </w:rPr>
      </w:pPr>
      <w:r w:rsidRPr="00577F25">
        <w:rPr>
          <w:rFonts w:hAnsi="宋体"/>
          <w:color w:val="000000"/>
          <w:sz w:val="24"/>
        </w:rPr>
        <w:t>本条例未作规定的，适用有关法律、法规的规定。</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第三条</w:t>
      </w:r>
      <w:r>
        <w:rPr>
          <w:rFonts w:hAnsi="宋体" w:hint="eastAsia"/>
          <w:color w:val="000000"/>
          <w:sz w:val="24"/>
        </w:rPr>
        <w:t xml:space="preserve">  </w:t>
      </w:r>
      <w:r w:rsidRPr="00577F25">
        <w:rPr>
          <w:rFonts w:hAnsi="宋体"/>
          <w:color w:val="000000"/>
          <w:sz w:val="24"/>
        </w:rPr>
        <w:t>中小学校、幼儿园规划建设，应当贯彻教育优先发展理念，坚持政府主导、科学规划、统筹建设、依法管理原则，保障中小学校、幼儿园规划建设与经济社会发展和人口变化相适应。</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第四条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市、县（市、区）人民政府领导和管理中小学校、幼儿园的规划建设工作，将中小学校、幼儿园规划建设纳入国民经济和社会发展规划、国土空间规划，优先安排中小学校、幼儿园的建设用地和建设资金，统筹解决规划建设中的重大事项。</w:t>
      </w:r>
    </w:p>
    <w:p w:rsidR="00C079FD" w:rsidRPr="00577F25" w:rsidRDefault="00C079FD" w:rsidP="00C079FD">
      <w:pPr>
        <w:ind w:firstLineChars="200" w:firstLine="480"/>
        <w:rPr>
          <w:color w:val="000000"/>
          <w:sz w:val="24"/>
        </w:rPr>
      </w:pPr>
      <w:r w:rsidRPr="00577F25">
        <w:rPr>
          <w:rFonts w:hAnsi="宋体"/>
          <w:color w:val="000000"/>
          <w:sz w:val="24"/>
        </w:rPr>
        <w:lastRenderedPageBreak/>
        <w:t>乡（镇）人民政府、街道办事处协助做好本辖区中小学校、幼儿园的规划建设工作。</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第五条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市、县（市、区）人民政府教育、自然资源和规划、住房城乡建设部门是中小学校、幼儿园规划建设主管部门，按照各自职责共同做好中小学校、幼儿园的规划编制、用地供给、建设管理等工作。</w:t>
      </w:r>
    </w:p>
    <w:p w:rsidR="00C079FD" w:rsidRPr="00577F25" w:rsidRDefault="00C079FD" w:rsidP="00C079FD">
      <w:pPr>
        <w:ind w:firstLineChars="200" w:firstLine="480"/>
        <w:rPr>
          <w:color w:val="000000"/>
          <w:sz w:val="24"/>
        </w:rPr>
      </w:pPr>
      <w:r w:rsidRPr="00577F25">
        <w:rPr>
          <w:rFonts w:hAnsi="宋体"/>
          <w:color w:val="000000"/>
          <w:sz w:val="24"/>
        </w:rPr>
        <w:t>发展改革、公安、财政、生态环境、交通运输、城市管理、市场监督管理、消防、人防等部门在职责范围内做好中小学校、幼儿园规划建设相关工作。</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第六条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市、县（市、区）人民政府应当每年对中小学校、幼儿园规划建设情况进行监督检查，每三年进行一次评估，并向社会公布检查结果和评估报告。</w:t>
      </w:r>
    </w:p>
    <w:p w:rsidR="00C079FD" w:rsidRDefault="00C079FD" w:rsidP="00C079FD">
      <w:pPr>
        <w:ind w:firstLineChars="200" w:firstLine="480"/>
        <w:rPr>
          <w:rFonts w:hAnsi="宋体"/>
          <w:color w:val="000000"/>
          <w:sz w:val="24"/>
        </w:rPr>
      </w:pPr>
      <w:r w:rsidRPr="005363D7">
        <w:rPr>
          <w:rFonts w:ascii="黑体" w:eastAsia="黑体" w:hAnsi="黑体"/>
          <w:color w:val="000000"/>
          <w:sz w:val="24"/>
        </w:rPr>
        <w:t>第七条</w:t>
      </w:r>
      <w:r w:rsidRPr="005363D7">
        <w:rPr>
          <w:rFonts w:ascii="黑体" w:eastAsia="黑体" w:hAnsi="黑体" w:hint="eastAsia"/>
          <w:color w:val="000000"/>
          <w:sz w:val="24"/>
        </w:rPr>
        <w:t xml:space="preserve">  </w:t>
      </w:r>
      <w:r w:rsidRPr="00577F25">
        <w:rPr>
          <w:rFonts w:hAnsi="宋体"/>
          <w:color w:val="000000"/>
          <w:sz w:val="24"/>
        </w:rPr>
        <w:t>市、县（市、区）人民政府应当将中小学校、幼儿园规划建设实施情况纳入政府履行教育职责评价体系，由教育督导机构每三年进行一次专项督导，依法公布督导报告。督导报告作为对被督导单位及其主要负责人进行考核、奖惩的依据。</w:t>
      </w:r>
    </w:p>
    <w:p w:rsidR="00C079FD" w:rsidRDefault="00C079FD" w:rsidP="00C079FD">
      <w:pPr>
        <w:pStyle w:val="2"/>
      </w:pPr>
      <w:r w:rsidRPr="00577F25">
        <w:t>第二章</w:t>
      </w:r>
      <w:r>
        <w:rPr>
          <w:rFonts w:hint="eastAsia"/>
        </w:rPr>
        <w:t xml:space="preserve">  </w:t>
      </w:r>
      <w:r w:rsidRPr="00577F25">
        <w:t>规</w:t>
      </w:r>
      <w:r>
        <w:rPr>
          <w:rFonts w:hint="eastAsia"/>
        </w:rPr>
        <w:t xml:space="preserve">  </w:t>
      </w:r>
      <w:r w:rsidRPr="00577F25">
        <w:t>划</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第八条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市、县（市）人民政府教育行政部门应当</w:t>
      </w:r>
      <w:r w:rsidRPr="00577F25">
        <w:rPr>
          <w:rFonts w:hAnsi="宋体"/>
          <w:color w:val="000000"/>
          <w:sz w:val="24"/>
        </w:rPr>
        <w:lastRenderedPageBreak/>
        <w:t>会同发展改革、自然资源和规划、住房城乡建设等部门，共同组织编制中小学校、幼儿园布局专项规划，在提请本级人民代表大会常务委员会审议后，由本级人民政府批准公布实施。</w:t>
      </w:r>
    </w:p>
    <w:p w:rsidR="00C079FD" w:rsidRPr="00577F25" w:rsidRDefault="00C079FD" w:rsidP="00C079FD">
      <w:pPr>
        <w:ind w:firstLineChars="200" w:firstLine="480"/>
        <w:rPr>
          <w:color w:val="000000"/>
          <w:sz w:val="24"/>
        </w:rPr>
      </w:pPr>
      <w:r w:rsidRPr="00577F25">
        <w:rPr>
          <w:rFonts w:hAnsi="宋体"/>
          <w:color w:val="000000"/>
          <w:sz w:val="24"/>
        </w:rPr>
        <w:t>中小学校、幼儿园布局专项规划应当同时报本级人民代表大会常务委员会和上一级人民政府备案。</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第九条</w:t>
      </w:r>
      <w:r>
        <w:rPr>
          <w:rFonts w:hAnsi="宋体" w:hint="eastAsia"/>
          <w:color w:val="000000"/>
          <w:sz w:val="24"/>
        </w:rPr>
        <w:t xml:space="preserve">  </w:t>
      </w:r>
      <w:r w:rsidRPr="00577F25">
        <w:rPr>
          <w:rFonts w:hAnsi="宋体"/>
          <w:color w:val="000000"/>
          <w:sz w:val="24"/>
        </w:rPr>
        <w:t>中小学校、幼儿园布局专项规划报送审批前，市、县（市）教育行政部门应当依法予以公告，并采取论证会、听证会等方式征求相关单位、专家和公众的意见。公告时间不得少于三十日。</w:t>
      </w:r>
    </w:p>
    <w:p w:rsidR="00C079FD" w:rsidRPr="00577F25" w:rsidRDefault="00C079FD" w:rsidP="00C079FD">
      <w:pPr>
        <w:ind w:firstLineChars="200" w:firstLine="480"/>
        <w:rPr>
          <w:color w:val="000000"/>
          <w:sz w:val="24"/>
        </w:rPr>
      </w:pPr>
      <w:r w:rsidRPr="00577F25">
        <w:rPr>
          <w:rFonts w:hAnsi="宋体"/>
          <w:color w:val="000000"/>
          <w:sz w:val="24"/>
        </w:rPr>
        <w:t>市、县（市）人民政府应当在中小学校、幼儿园布局专项规划批准后三十日内向社会公布，公布内容包括规划批准文件、规划文本的主要内容和图纸等。</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经批准公布的中小学校、幼儿园布局专项规划，任何单位和个人不得擅自修改。因公共利益需要确需变更的，应当征得教育行政部门同意，按照原审批程序报请批准并向社会公布。</w:t>
      </w:r>
    </w:p>
    <w:p w:rsidR="00C079FD" w:rsidRPr="00577F25" w:rsidRDefault="00C079FD" w:rsidP="00C079FD">
      <w:pPr>
        <w:ind w:firstLineChars="200" w:firstLine="480"/>
        <w:rPr>
          <w:color w:val="000000"/>
          <w:sz w:val="24"/>
        </w:rPr>
      </w:pPr>
      <w:r w:rsidRPr="00577F25">
        <w:rPr>
          <w:rFonts w:hAnsi="宋体"/>
          <w:color w:val="000000"/>
          <w:sz w:val="24"/>
        </w:rPr>
        <w:t>修改后的中小学校、幼儿园布局专项规划，应当在原规划服务半径内选址，用地面积、办学规模和建设条件不得低于原规划标准。</w:t>
      </w:r>
    </w:p>
    <w:p w:rsidR="00C079FD" w:rsidRPr="00577F25" w:rsidRDefault="00C079FD" w:rsidP="00C079FD">
      <w:pPr>
        <w:ind w:firstLineChars="200" w:firstLine="480"/>
        <w:rPr>
          <w:color w:val="000000"/>
          <w:sz w:val="24"/>
        </w:rPr>
      </w:pPr>
      <w:r w:rsidRPr="005363D7">
        <w:rPr>
          <w:rFonts w:ascii="黑体" w:eastAsia="黑体" w:hAnsi="黑体"/>
          <w:color w:val="000000"/>
          <w:sz w:val="24"/>
        </w:rPr>
        <w:lastRenderedPageBreak/>
        <w:t>第十一条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编制中小学校、幼儿园专项规划，应当综合考虑人口容量、分布以及交通、环境和城镇化进程等因素，选址和规划设计应当按照国家、省有关规定执行，并且符合下列标准：</w:t>
      </w:r>
    </w:p>
    <w:p w:rsidR="00C079FD" w:rsidRPr="00577F25" w:rsidRDefault="00C079FD" w:rsidP="00C079FD">
      <w:pPr>
        <w:ind w:firstLineChars="200" w:firstLine="480"/>
        <w:rPr>
          <w:color w:val="000000"/>
          <w:sz w:val="24"/>
        </w:rPr>
      </w:pPr>
      <w:r w:rsidRPr="00577F25">
        <w:rPr>
          <w:rFonts w:hAnsi="宋体"/>
          <w:color w:val="000000"/>
          <w:sz w:val="24"/>
        </w:rPr>
        <w:t>（一）每千人口按照四十五名幼儿配套建设相应规模幼儿园，生均用地面积不低于</w:t>
      </w:r>
      <w:smartTag w:uri="urn:schemas-microsoft-com:office:smarttags" w:element="chmetcnv">
        <w:smartTagPr>
          <w:attr w:name="TCSC" w:val="1"/>
          <w:attr w:name="NumberType" w:val="3"/>
          <w:attr w:name="Negative" w:val="False"/>
          <w:attr w:name="HasSpace" w:val="False"/>
          <w:attr w:name="SourceValue" w:val="15"/>
          <w:attr w:name="UnitName" w:val="平方米"/>
        </w:smartTagPr>
        <w:r w:rsidRPr="00577F25">
          <w:rPr>
            <w:rFonts w:hAnsi="宋体"/>
            <w:color w:val="000000"/>
            <w:sz w:val="24"/>
          </w:rPr>
          <w:t>十五平方米</w:t>
        </w:r>
      </w:smartTag>
      <w:r w:rsidRPr="00577F25">
        <w:rPr>
          <w:rFonts w:hAnsi="宋体"/>
          <w:color w:val="000000"/>
          <w:sz w:val="24"/>
        </w:rPr>
        <w:t>，服务半径不宜超过</w:t>
      </w:r>
      <w:smartTag w:uri="urn:schemas-microsoft-com:office:smarttags" w:element="chmetcnv">
        <w:smartTagPr>
          <w:attr w:name="TCSC" w:val="1"/>
          <w:attr w:name="NumberType" w:val="3"/>
          <w:attr w:name="Negative" w:val="False"/>
          <w:attr w:name="HasSpace" w:val="False"/>
          <w:attr w:name="SourceValue" w:val="300"/>
          <w:attr w:name="UnitName" w:val="米"/>
        </w:smartTagPr>
        <w:r w:rsidRPr="00577F25">
          <w:rPr>
            <w:rFonts w:hAnsi="宋体"/>
            <w:color w:val="000000"/>
            <w:sz w:val="24"/>
          </w:rPr>
          <w:t>三百米</w:t>
        </w:r>
      </w:smartTag>
      <w:r w:rsidRPr="00577F25">
        <w:rPr>
          <w:rFonts w:hAnsi="宋体"/>
          <w:color w:val="000000"/>
          <w:sz w:val="24"/>
        </w:rPr>
        <w:t>；</w:t>
      </w:r>
    </w:p>
    <w:p w:rsidR="00C079FD" w:rsidRPr="00577F25" w:rsidRDefault="00C079FD" w:rsidP="00C079FD">
      <w:pPr>
        <w:ind w:firstLineChars="200" w:firstLine="480"/>
        <w:rPr>
          <w:color w:val="000000"/>
          <w:sz w:val="24"/>
        </w:rPr>
      </w:pPr>
      <w:r w:rsidRPr="00577F25">
        <w:rPr>
          <w:rFonts w:hAnsi="宋体"/>
          <w:color w:val="000000"/>
          <w:sz w:val="24"/>
        </w:rPr>
        <w:t>（二）每千人口按照一百名小学生配套建设相应规模小学，二十四个教学班以下的生均用地面积不低于</w:t>
      </w:r>
      <w:smartTag w:uri="urn:schemas-microsoft-com:office:smarttags" w:element="chmetcnv">
        <w:smartTagPr>
          <w:attr w:name="TCSC" w:val="1"/>
          <w:attr w:name="NumberType" w:val="3"/>
          <w:attr w:name="Negative" w:val="False"/>
          <w:attr w:name="HasSpace" w:val="False"/>
          <w:attr w:name="SourceValue" w:val="18"/>
          <w:attr w:name="UnitName" w:val="平方米"/>
        </w:smartTagPr>
        <w:r w:rsidRPr="00577F25">
          <w:rPr>
            <w:rFonts w:hAnsi="宋体"/>
            <w:color w:val="000000"/>
            <w:sz w:val="24"/>
          </w:rPr>
          <w:t>十八平方米</w:t>
        </w:r>
      </w:smartTag>
      <w:r w:rsidRPr="00577F25">
        <w:rPr>
          <w:rFonts w:hAnsi="宋体"/>
          <w:color w:val="000000"/>
          <w:sz w:val="24"/>
        </w:rPr>
        <w:t>，三十个教学班以上的生均用地面积不低于</w:t>
      </w:r>
      <w:smartTag w:uri="urn:schemas-microsoft-com:office:smarttags" w:element="chmetcnv">
        <w:smartTagPr>
          <w:attr w:name="TCSC" w:val="1"/>
          <w:attr w:name="NumberType" w:val="3"/>
          <w:attr w:name="Negative" w:val="False"/>
          <w:attr w:name="HasSpace" w:val="False"/>
          <w:attr w:name="SourceValue" w:val="17"/>
          <w:attr w:name="UnitName" w:val="平方米"/>
        </w:smartTagPr>
        <w:r w:rsidRPr="00577F25">
          <w:rPr>
            <w:rFonts w:hAnsi="宋体"/>
            <w:color w:val="000000"/>
            <w:sz w:val="24"/>
          </w:rPr>
          <w:t>十七平方米</w:t>
        </w:r>
      </w:smartTag>
      <w:r w:rsidRPr="00577F25">
        <w:rPr>
          <w:rFonts w:hAnsi="宋体"/>
          <w:color w:val="000000"/>
          <w:sz w:val="24"/>
        </w:rPr>
        <w:t>，服务半径不宜超过</w:t>
      </w:r>
      <w:smartTag w:uri="urn:schemas-microsoft-com:office:smarttags" w:element="chmetcnv">
        <w:smartTagPr>
          <w:attr w:name="TCSC" w:val="1"/>
          <w:attr w:name="NumberType" w:val="3"/>
          <w:attr w:name="Negative" w:val="False"/>
          <w:attr w:name="HasSpace" w:val="False"/>
          <w:attr w:name="SourceValue" w:val="500"/>
          <w:attr w:name="UnitName" w:val="米"/>
        </w:smartTagPr>
        <w:r w:rsidRPr="00577F25">
          <w:rPr>
            <w:rFonts w:hAnsi="宋体"/>
            <w:color w:val="000000"/>
            <w:sz w:val="24"/>
          </w:rPr>
          <w:t>五百米</w:t>
        </w:r>
      </w:smartTag>
      <w:r w:rsidRPr="00577F25">
        <w:rPr>
          <w:rFonts w:hAnsi="宋体"/>
          <w:color w:val="000000"/>
          <w:sz w:val="24"/>
        </w:rPr>
        <w:t>；</w:t>
      </w:r>
    </w:p>
    <w:p w:rsidR="00C079FD" w:rsidRPr="00577F25" w:rsidRDefault="00C079FD" w:rsidP="00C079FD">
      <w:pPr>
        <w:ind w:firstLineChars="200" w:firstLine="480"/>
        <w:rPr>
          <w:color w:val="000000"/>
          <w:sz w:val="24"/>
        </w:rPr>
      </w:pPr>
      <w:r w:rsidRPr="00577F25">
        <w:rPr>
          <w:rFonts w:hAnsi="宋体"/>
          <w:color w:val="000000"/>
          <w:sz w:val="24"/>
        </w:rPr>
        <w:t>（三）每千人口按照五十名初中生配套建设相应规模初中，二十四个教学班以下的生均用地面积不低于</w:t>
      </w:r>
      <w:smartTag w:uri="urn:schemas-microsoft-com:office:smarttags" w:element="chmetcnv">
        <w:smartTagPr>
          <w:attr w:name="TCSC" w:val="1"/>
          <w:attr w:name="NumberType" w:val="3"/>
          <w:attr w:name="Negative" w:val="False"/>
          <w:attr w:name="HasSpace" w:val="False"/>
          <w:attr w:name="SourceValue" w:val="22"/>
          <w:attr w:name="UnitName" w:val="平方米"/>
        </w:smartTagPr>
        <w:r w:rsidRPr="00577F25">
          <w:rPr>
            <w:rFonts w:hAnsi="宋体"/>
            <w:color w:val="000000"/>
            <w:sz w:val="24"/>
          </w:rPr>
          <w:t>二十二平方米</w:t>
        </w:r>
      </w:smartTag>
      <w:r w:rsidRPr="00577F25">
        <w:rPr>
          <w:rFonts w:hAnsi="宋体"/>
          <w:color w:val="000000"/>
          <w:sz w:val="24"/>
        </w:rPr>
        <w:t>，三十个教学班以上的生均用地面积不低于</w:t>
      </w:r>
      <w:smartTag w:uri="urn:schemas-microsoft-com:office:smarttags" w:element="chmetcnv">
        <w:smartTagPr>
          <w:attr w:name="TCSC" w:val="1"/>
          <w:attr w:name="NumberType" w:val="3"/>
          <w:attr w:name="Negative" w:val="False"/>
          <w:attr w:name="HasSpace" w:val="False"/>
          <w:attr w:name="SourceValue" w:val="20"/>
          <w:attr w:name="UnitName" w:val="平方米"/>
        </w:smartTagPr>
        <w:r w:rsidRPr="00577F25">
          <w:rPr>
            <w:rFonts w:hAnsi="宋体"/>
            <w:color w:val="000000"/>
            <w:sz w:val="24"/>
          </w:rPr>
          <w:t>二十平方米</w:t>
        </w:r>
      </w:smartTag>
      <w:r w:rsidRPr="00577F25">
        <w:rPr>
          <w:rFonts w:hAnsi="宋体"/>
          <w:color w:val="000000"/>
          <w:sz w:val="24"/>
        </w:rPr>
        <w:t>，服务半径不宜超过</w:t>
      </w:r>
      <w:smartTag w:uri="urn:schemas-microsoft-com:office:smarttags" w:element="chmetcnv">
        <w:smartTagPr>
          <w:attr w:name="TCSC" w:val="1"/>
          <w:attr w:name="NumberType" w:val="3"/>
          <w:attr w:name="Negative" w:val="False"/>
          <w:attr w:name="HasSpace" w:val="False"/>
          <w:attr w:name="SourceValue" w:val="1"/>
          <w:attr w:name="UnitName" w:val="千米"/>
        </w:smartTagPr>
        <w:r w:rsidRPr="00577F25">
          <w:rPr>
            <w:rFonts w:hAnsi="宋体"/>
            <w:color w:val="000000"/>
            <w:sz w:val="24"/>
          </w:rPr>
          <w:t>一千米</w:t>
        </w:r>
      </w:smartTag>
      <w:r w:rsidRPr="00577F25">
        <w:rPr>
          <w:rFonts w:hAnsi="宋体"/>
          <w:color w:val="000000"/>
          <w:sz w:val="24"/>
        </w:rPr>
        <w:t>；</w:t>
      </w:r>
    </w:p>
    <w:p w:rsidR="00C079FD" w:rsidRPr="00577F25" w:rsidRDefault="00C079FD" w:rsidP="00C079FD">
      <w:pPr>
        <w:ind w:firstLineChars="200" w:firstLine="480"/>
        <w:rPr>
          <w:color w:val="000000"/>
          <w:sz w:val="24"/>
        </w:rPr>
      </w:pPr>
      <w:r w:rsidRPr="00577F25">
        <w:rPr>
          <w:rFonts w:hAnsi="宋体"/>
          <w:color w:val="000000"/>
          <w:sz w:val="24"/>
        </w:rPr>
        <w:t>（四）每千人口按照三十名高中生配套建设相应规模普通高中，二十四个教学班以下的生均用地面积不低于</w:t>
      </w:r>
      <w:smartTag w:uri="urn:schemas-microsoft-com:office:smarttags" w:element="chmetcnv">
        <w:smartTagPr>
          <w:attr w:name="TCSC" w:val="1"/>
          <w:attr w:name="NumberType" w:val="3"/>
          <w:attr w:name="Negative" w:val="False"/>
          <w:attr w:name="HasSpace" w:val="False"/>
          <w:attr w:name="SourceValue" w:val="22"/>
          <w:attr w:name="UnitName" w:val="平方米"/>
        </w:smartTagPr>
        <w:r w:rsidRPr="00577F25">
          <w:rPr>
            <w:rFonts w:hAnsi="宋体"/>
            <w:color w:val="000000"/>
            <w:sz w:val="24"/>
          </w:rPr>
          <w:t>二十二平方米</w:t>
        </w:r>
      </w:smartTag>
      <w:r w:rsidRPr="00577F25">
        <w:rPr>
          <w:rFonts w:hAnsi="宋体"/>
          <w:color w:val="000000"/>
          <w:sz w:val="24"/>
        </w:rPr>
        <w:t>，三十个教学班以上的生均用地面积不低于</w:t>
      </w:r>
      <w:smartTag w:uri="urn:schemas-microsoft-com:office:smarttags" w:element="chmetcnv">
        <w:smartTagPr>
          <w:attr w:name="TCSC" w:val="1"/>
          <w:attr w:name="NumberType" w:val="3"/>
          <w:attr w:name="Negative" w:val="False"/>
          <w:attr w:name="HasSpace" w:val="False"/>
          <w:attr w:name="SourceValue" w:val="20"/>
          <w:attr w:name="UnitName" w:val="平方米"/>
        </w:smartTagPr>
        <w:r w:rsidRPr="00577F25">
          <w:rPr>
            <w:rFonts w:hAnsi="宋体"/>
            <w:color w:val="000000"/>
            <w:sz w:val="24"/>
          </w:rPr>
          <w:t>二十平方米</w:t>
        </w:r>
      </w:smartTag>
      <w:r w:rsidRPr="00577F25">
        <w:rPr>
          <w:rFonts w:hAnsi="宋体"/>
          <w:color w:val="000000"/>
          <w:sz w:val="24"/>
        </w:rPr>
        <w:t>。</w:t>
      </w:r>
    </w:p>
    <w:p w:rsidR="00C079FD" w:rsidRPr="00577F25" w:rsidRDefault="00C079FD" w:rsidP="00C079FD">
      <w:pPr>
        <w:ind w:firstLineChars="200" w:firstLine="480"/>
        <w:rPr>
          <w:color w:val="000000"/>
          <w:sz w:val="24"/>
        </w:rPr>
      </w:pPr>
      <w:r w:rsidRPr="00577F25">
        <w:rPr>
          <w:rFonts w:hAnsi="宋体"/>
          <w:color w:val="000000"/>
          <w:sz w:val="24"/>
        </w:rPr>
        <w:t>寄宿制学校生均用地面积应当增加四至五平方米。</w:t>
      </w:r>
    </w:p>
    <w:p w:rsidR="00C079FD" w:rsidRPr="00577F25" w:rsidRDefault="00C079FD" w:rsidP="00C079FD">
      <w:pPr>
        <w:ind w:firstLineChars="200" w:firstLine="480"/>
        <w:rPr>
          <w:color w:val="000000"/>
          <w:sz w:val="24"/>
        </w:rPr>
      </w:pPr>
      <w:r w:rsidRPr="00577F25">
        <w:rPr>
          <w:rFonts w:hAnsi="宋体"/>
          <w:color w:val="000000"/>
          <w:sz w:val="24"/>
        </w:rPr>
        <w:lastRenderedPageBreak/>
        <w:t>农村中小学校、幼儿园布局，由县（市）人民政府根据本行政区域内教育资源的实际情况合理确定。</w:t>
      </w:r>
    </w:p>
    <w:p w:rsidR="00C079FD" w:rsidRPr="00577F25" w:rsidRDefault="00C079FD" w:rsidP="00C079FD">
      <w:pPr>
        <w:ind w:firstLineChars="200" w:firstLine="480"/>
        <w:rPr>
          <w:color w:val="000000"/>
          <w:sz w:val="24"/>
        </w:rPr>
      </w:pPr>
      <w:r w:rsidRPr="00577F25">
        <w:rPr>
          <w:rFonts w:hAnsi="宋体"/>
          <w:color w:val="000000"/>
          <w:sz w:val="24"/>
        </w:rPr>
        <w:t>学校用地条件受到限制的山区和旧城区等特殊地区，生均用地面积基本标准在满足教育需求的情况下可以适当降低。</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第十二条</w:t>
      </w:r>
      <w:r>
        <w:rPr>
          <w:rFonts w:hAnsi="宋体" w:hint="eastAsia"/>
          <w:color w:val="000000"/>
          <w:sz w:val="24"/>
        </w:rPr>
        <w:t xml:space="preserve">  </w:t>
      </w:r>
      <w:r w:rsidRPr="00577F25">
        <w:rPr>
          <w:rFonts w:hAnsi="宋体"/>
          <w:color w:val="000000"/>
          <w:sz w:val="24"/>
        </w:rPr>
        <w:t>自然资源和规划部门编制控制性详细规划应当征求教育行政部门意见，根据中小学校、幼儿园布局专项规划预留建设用地，核定用地位置和界线。</w:t>
      </w:r>
    </w:p>
    <w:p w:rsidR="00C079FD" w:rsidRPr="00577F25" w:rsidRDefault="00C079FD" w:rsidP="00C079FD">
      <w:pPr>
        <w:ind w:firstLineChars="200" w:firstLine="480"/>
        <w:rPr>
          <w:color w:val="000000"/>
          <w:sz w:val="24"/>
        </w:rPr>
      </w:pPr>
      <w:r w:rsidRPr="00577F25">
        <w:rPr>
          <w:rFonts w:hAnsi="宋体"/>
          <w:color w:val="000000"/>
          <w:sz w:val="24"/>
        </w:rPr>
        <w:t>预留建设用地面积应当满足与办学规模相适应的建筑、体育、绿化、道路及广场、停车场等需要。</w:t>
      </w:r>
    </w:p>
    <w:p w:rsidR="00C079FD" w:rsidRPr="00577F25" w:rsidRDefault="00C079FD" w:rsidP="00C079FD">
      <w:pPr>
        <w:ind w:firstLineChars="200" w:firstLine="480"/>
        <w:rPr>
          <w:color w:val="000000"/>
          <w:sz w:val="24"/>
        </w:rPr>
      </w:pPr>
      <w:r w:rsidRPr="00577F25">
        <w:rPr>
          <w:rFonts w:hAnsi="宋体"/>
          <w:color w:val="000000"/>
          <w:sz w:val="24"/>
        </w:rPr>
        <w:t>任何单位和个人不得擅自改变预留的中小学校、幼儿园建设用地性质。</w:t>
      </w:r>
    </w:p>
    <w:p w:rsidR="00C079FD" w:rsidRDefault="00C079FD" w:rsidP="00C079FD">
      <w:pPr>
        <w:ind w:firstLineChars="200" w:firstLine="480"/>
        <w:rPr>
          <w:rFonts w:hAnsi="宋体"/>
          <w:color w:val="000000"/>
          <w:sz w:val="24"/>
        </w:rPr>
      </w:pPr>
      <w:r w:rsidRPr="005363D7">
        <w:rPr>
          <w:rFonts w:ascii="黑体" w:eastAsia="黑体" w:hAnsi="黑体"/>
          <w:color w:val="000000"/>
          <w:sz w:val="24"/>
        </w:rPr>
        <w:t>第十三条</w:t>
      </w:r>
      <w:r>
        <w:rPr>
          <w:rFonts w:hAnsi="宋体" w:hint="eastAsia"/>
          <w:color w:val="000000"/>
          <w:sz w:val="24"/>
        </w:rPr>
        <w:t xml:space="preserve">  </w:t>
      </w:r>
      <w:r w:rsidRPr="00577F25">
        <w:rPr>
          <w:rFonts w:hAnsi="宋体"/>
          <w:color w:val="000000"/>
          <w:sz w:val="24"/>
        </w:rPr>
        <w:t>城市新区开发、旧城区改造应当优先保障中小学校、幼儿园新建、改建、扩建用地。中小学校、幼儿园周边长期闲置或者待开发的土地应当优先规划为增容预留用地。</w:t>
      </w:r>
    </w:p>
    <w:p w:rsidR="00C079FD" w:rsidRDefault="00C079FD" w:rsidP="00C079FD">
      <w:pPr>
        <w:pStyle w:val="2"/>
      </w:pPr>
      <w:r w:rsidRPr="00577F25">
        <w:t>第三章</w:t>
      </w:r>
      <w:r>
        <w:rPr>
          <w:rFonts w:hint="eastAsia"/>
        </w:rPr>
        <w:t xml:space="preserve">  </w:t>
      </w:r>
      <w:r w:rsidRPr="00577F25">
        <w:t>建</w:t>
      </w:r>
      <w:r>
        <w:rPr>
          <w:rFonts w:hint="eastAsia"/>
        </w:rPr>
        <w:t xml:space="preserve">  </w:t>
      </w:r>
      <w:r w:rsidRPr="00577F25">
        <w:t>设</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第十四条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市、县（市、区）人民政府应当按照中小学校、幼儿园布局专项规划，将中小学校、幼儿园建</w:t>
      </w:r>
      <w:r w:rsidRPr="00577F25">
        <w:rPr>
          <w:rFonts w:hAnsi="宋体"/>
          <w:color w:val="000000"/>
          <w:sz w:val="24"/>
        </w:rPr>
        <w:lastRenderedPageBreak/>
        <w:t>设列入政府年度投资建设计划，有计划地建设中小学校、幼儿园，满足本行政区域内适龄青少年、儿童的入学、入园需求。</w:t>
      </w:r>
    </w:p>
    <w:p w:rsidR="00C079FD" w:rsidRPr="00577F25" w:rsidRDefault="00C079FD" w:rsidP="00C079FD">
      <w:pPr>
        <w:ind w:firstLineChars="200" w:firstLine="480"/>
        <w:rPr>
          <w:color w:val="000000"/>
          <w:sz w:val="24"/>
        </w:rPr>
      </w:pPr>
      <w:r w:rsidRPr="00577F25">
        <w:rPr>
          <w:rFonts w:hAnsi="宋体"/>
          <w:color w:val="000000"/>
          <w:sz w:val="24"/>
        </w:rPr>
        <w:t>因学位紧缺达到招生预警红色等级的，应当优先列入政府年度投资建设计划，优先建设。</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第十五条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因中小学校幼儿园布局专项规划变更确需占用中小学校、幼儿园校舍和场地的，应当经教育行政部门同意，报本级人民政府批准，并按照先建设后拆迁原则，在不降低规划标准的前提下，就近补偿建设或者重新建设。</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第十六条</w:t>
      </w:r>
      <w:r>
        <w:rPr>
          <w:rFonts w:hAnsi="宋体" w:hint="eastAsia"/>
          <w:color w:val="000000"/>
          <w:sz w:val="24"/>
        </w:rPr>
        <w:t xml:space="preserve">  </w:t>
      </w:r>
      <w:r w:rsidRPr="00577F25">
        <w:rPr>
          <w:rFonts w:hAnsi="宋体"/>
          <w:color w:val="000000"/>
          <w:sz w:val="24"/>
        </w:rPr>
        <w:t>中小学校、幼儿园教育资源进行调整的，应当保证学校的存量资产不减少。</w:t>
      </w:r>
    </w:p>
    <w:p w:rsidR="00C079FD" w:rsidRPr="00577F25" w:rsidRDefault="00C079FD" w:rsidP="00C079FD">
      <w:pPr>
        <w:ind w:firstLineChars="200" w:firstLine="480"/>
        <w:rPr>
          <w:color w:val="000000"/>
          <w:sz w:val="24"/>
        </w:rPr>
      </w:pPr>
      <w:r w:rsidRPr="00577F25">
        <w:rPr>
          <w:rFonts w:hAnsi="宋体"/>
          <w:color w:val="000000"/>
          <w:sz w:val="24"/>
        </w:rPr>
        <w:t>闲置的土地、房产和其他富余资产应当优先用于中小学校、幼儿园建设。</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第十七条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中小学校、幼儿园建设应当践行绿色发展理念，制定整体规划设计方案，合理安排教学、运动、生活等功能分区，构建和谐景观，适应教育实际需求和长远办学需要，达到或者高于国家和省规定的设计规范和建设标准。</w:t>
      </w:r>
    </w:p>
    <w:p w:rsidR="00C079FD" w:rsidRPr="00577F25" w:rsidRDefault="00C079FD" w:rsidP="00C079FD">
      <w:pPr>
        <w:ind w:firstLineChars="200" w:firstLine="480"/>
        <w:rPr>
          <w:color w:val="000000"/>
          <w:sz w:val="24"/>
        </w:rPr>
      </w:pPr>
      <w:r w:rsidRPr="00577F25">
        <w:rPr>
          <w:rFonts w:hAnsi="宋体"/>
          <w:color w:val="000000"/>
          <w:sz w:val="24"/>
        </w:rPr>
        <w:t>中小学校、幼儿园应当结合本地自然环境和条件，</w:t>
      </w:r>
      <w:r w:rsidRPr="00577F25">
        <w:rPr>
          <w:rFonts w:hAnsi="宋体"/>
          <w:color w:val="000000"/>
          <w:sz w:val="24"/>
        </w:rPr>
        <w:lastRenderedPageBreak/>
        <w:t>加强校园文化设施建设，体现区域文化特色，发挥校园文化的育人功能。</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第十八条</w:t>
      </w:r>
      <w:r>
        <w:rPr>
          <w:rFonts w:hAnsi="宋体" w:hint="eastAsia"/>
          <w:color w:val="000000"/>
          <w:sz w:val="24"/>
        </w:rPr>
        <w:t xml:space="preserve">  </w:t>
      </w:r>
      <w:r w:rsidRPr="00577F25">
        <w:rPr>
          <w:rFonts w:hAnsi="宋体"/>
          <w:color w:val="000000"/>
          <w:sz w:val="24"/>
        </w:rPr>
        <w:t>高压电线、长输天然气管道、输油管道或者市政道路等不得穿越或者跨越中小学校、幼儿园。</w:t>
      </w:r>
    </w:p>
    <w:p w:rsidR="00C079FD" w:rsidRPr="00577F25" w:rsidRDefault="00C079FD" w:rsidP="00C079FD">
      <w:pPr>
        <w:ind w:firstLineChars="200" w:firstLine="480"/>
        <w:rPr>
          <w:color w:val="000000"/>
          <w:sz w:val="24"/>
        </w:rPr>
      </w:pPr>
      <w:r w:rsidRPr="00577F25">
        <w:rPr>
          <w:rFonts w:hAnsi="宋体"/>
          <w:color w:val="000000"/>
          <w:sz w:val="24"/>
        </w:rPr>
        <w:t>易燃易爆、剧毒、放射性、腐蚀性等危险物品生产、经营、储存、使用场所或者设施与中小学校、幼儿园的间隔距离应当符合国家和省有关规定。</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第十九条</w:t>
      </w:r>
      <w:r>
        <w:rPr>
          <w:rFonts w:hAnsi="宋体" w:hint="eastAsia"/>
          <w:color w:val="000000"/>
          <w:sz w:val="24"/>
        </w:rPr>
        <w:t xml:space="preserve">  </w:t>
      </w:r>
      <w:r w:rsidRPr="00577F25">
        <w:rPr>
          <w:rFonts w:hAnsi="宋体"/>
          <w:color w:val="000000"/>
          <w:sz w:val="24"/>
        </w:rPr>
        <w:t>任何单位和个人不得在中小学校、幼儿园用地范围内、校园围墙上建造或者倚建与教育教学无关的建筑物、构筑物及其他设施。</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第二十条</w:t>
      </w:r>
      <w:r>
        <w:rPr>
          <w:rFonts w:hAnsi="宋体" w:hint="eastAsia"/>
          <w:color w:val="000000"/>
          <w:sz w:val="24"/>
        </w:rPr>
        <w:t xml:space="preserve">  </w:t>
      </w:r>
      <w:r w:rsidRPr="00577F25">
        <w:rPr>
          <w:rFonts w:hAnsi="宋体"/>
          <w:color w:val="000000"/>
          <w:sz w:val="24"/>
        </w:rPr>
        <w:t>在中小学校、幼儿园周边不得进行下列建设活动：</w:t>
      </w:r>
    </w:p>
    <w:p w:rsidR="00C079FD" w:rsidRPr="00577F25" w:rsidRDefault="00C079FD" w:rsidP="00C079FD">
      <w:pPr>
        <w:ind w:firstLineChars="200" w:firstLine="480"/>
        <w:rPr>
          <w:color w:val="000000"/>
          <w:sz w:val="24"/>
        </w:rPr>
      </w:pPr>
      <w:r w:rsidRPr="00577F25">
        <w:rPr>
          <w:rFonts w:hAnsi="宋体"/>
          <w:color w:val="000000"/>
          <w:sz w:val="24"/>
        </w:rPr>
        <w:t>（一）周边</w:t>
      </w:r>
      <w:smartTag w:uri="urn:schemas-microsoft-com:office:smarttags" w:element="chmetcnv">
        <w:smartTagPr>
          <w:attr w:name="TCSC" w:val="1"/>
          <w:attr w:name="NumberType" w:val="3"/>
          <w:attr w:name="Negative" w:val="False"/>
          <w:attr w:name="HasSpace" w:val="False"/>
          <w:attr w:name="SourceValue" w:val="50"/>
          <w:attr w:name="UnitName" w:val="米"/>
        </w:smartTagPr>
        <w:r w:rsidRPr="00577F25">
          <w:rPr>
            <w:rFonts w:hAnsi="宋体"/>
            <w:color w:val="000000"/>
            <w:sz w:val="24"/>
          </w:rPr>
          <w:t>五十米</w:t>
        </w:r>
      </w:smartTag>
      <w:r w:rsidRPr="00577F25">
        <w:rPr>
          <w:rFonts w:hAnsi="宋体"/>
          <w:color w:val="000000"/>
          <w:sz w:val="24"/>
        </w:rPr>
        <w:t>范围内建设废弃物分类、收集、转运设施；</w:t>
      </w:r>
    </w:p>
    <w:p w:rsidR="00C079FD" w:rsidRPr="00577F25" w:rsidRDefault="00C079FD" w:rsidP="00C079FD">
      <w:pPr>
        <w:ind w:firstLineChars="200" w:firstLine="480"/>
        <w:rPr>
          <w:color w:val="000000"/>
          <w:sz w:val="24"/>
        </w:rPr>
      </w:pPr>
      <w:r w:rsidRPr="00577F25">
        <w:rPr>
          <w:rFonts w:hAnsi="宋体"/>
          <w:color w:val="000000"/>
          <w:sz w:val="24"/>
        </w:rPr>
        <w:t>（二）校园门口</w:t>
      </w:r>
      <w:smartTag w:uri="urn:schemas-microsoft-com:office:smarttags" w:element="chmetcnv">
        <w:smartTagPr>
          <w:attr w:name="TCSC" w:val="1"/>
          <w:attr w:name="NumberType" w:val="3"/>
          <w:attr w:name="Negative" w:val="False"/>
          <w:attr w:name="HasSpace" w:val="False"/>
          <w:attr w:name="SourceValue" w:val="50"/>
          <w:attr w:name="UnitName" w:val="米"/>
        </w:smartTagPr>
        <w:r w:rsidRPr="00577F25">
          <w:rPr>
            <w:rFonts w:hAnsi="宋体"/>
            <w:color w:val="000000"/>
            <w:sz w:val="24"/>
          </w:rPr>
          <w:t>五十米</w:t>
        </w:r>
      </w:smartTag>
      <w:r w:rsidRPr="00577F25">
        <w:rPr>
          <w:rFonts w:hAnsi="宋体"/>
          <w:color w:val="000000"/>
          <w:sz w:val="24"/>
        </w:rPr>
        <w:t>范围内摆设流动摊点；</w:t>
      </w:r>
    </w:p>
    <w:p w:rsidR="00C079FD" w:rsidRPr="00577F25" w:rsidRDefault="00C079FD" w:rsidP="00C079FD">
      <w:pPr>
        <w:ind w:firstLineChars="200" w:firstLine="480"/>
        <w:rPr>
          <w:color w:val="000000"/>
          <w:sz w:val="24"/>
        </w:rPr>
      </w:pPr>
      <w:r w:rsidRPr="00577F25">
        <w:rPr>
          <w:rFonts w:hAnsi="宋体"/>
          <w:color w:val="000000"/>
          <w:sz w:val="24"/>
        </w:rPr>
        <w:t>（三）周边</w:t>
      </w:r>
      <w:smartTag w:uri="urn:schemas-microsoft-com:office:smarttags" w:element="chmetcnv">
        <w:smartTagPr>
          <w:attr w:name="TCSC" w:val="1"/>
          <w:attr w:name="NumberType" w:val="3"/>
          <w:attr w:name="Negative" w:val="False"/>
          <w:attr w:name="HasSpace" w:val="False"/>
          <w:attr w:name="SourceValue" w:val="200"/>
          <w:attr w:name="UnitName" w:val="米"/>
        </w:smartTagPr>
        <w:r w:rsidRPr="00577F25">
          <w:rPr>
            <w:rFonts w:hAnsi="宋体"/>
            <w:color w:val="000000"/>
            <w:sz w:val="24"/>
          </w:rPr>
          <w:t>二百米</w:t>
        </w:r>
      </w:smartTag>
      <w:r w:rsidRPr="00577F25">
        <w:rPr>
          <w:rFonts w:hAnsi="宋体"/>
          <w:color w:val="000000"/>
          <w:sz w:val="24"/>
        </w:rPr>
        <w:t>范围内开设营业性歌舞娱乐场所、游艺娱乐场所、互联网上网营业场所、成人用品经营场所以及其他未成年人不适宜进入的场所；</w:t>
      </w:r>
    </w:p>
    <w:p w:rsidR="00C079FD" w:rsidRPr="00577F25" w:rsidRDefault="00C079FD" w:rsidP="00C079FD">
      <w:pPr>
        <w:ind w:firstLineChars="200" w:firstLine="480"/>
        <w:rPr>
          <w:color w:val="000000"/>
          <w:sz w:val="24"/>
        </w:rPr>
      </w:pPr>
      <w:r w:rsidRPr="00577F25">
        <w:rPr>
          <w:rFonts w:hAnsi="宋体"/>
          <w:color w:val="000000"/>
          <w:sz w:val="24"/>
        </w:rPr>
        <w:t>（四）周边</w:t>
      </w:r>
      <w:smartTag w:uri="urn:schemas-microsoft-com:office:smarttags" w:element="chmetcnv">
        <w:smartTagPr>
          <w:attr w:name="TCSC" w:val="1"/>
          <w:attr w:name="NumberType" w:val="3"/>
          <w:attr w:name="Negative" w:val="False"/>
          <w:attr w:name="HasSpace" w:val="False"/>
          <w:attr w:name="SourceValue" w:val="300"/>
          <w:attr w:name="UnitName" w:val="米"/>
        </w:smartTagPr>
        <w:r w:rsidRPr="00577F25">
          <w:rPr>
            <w:rFonts w:hAnsi="宋体"/>
            <w:color w:val="000000"/>
            <w:sz w:val="24"/>
          </w:rPr>
          <w:t>三百米</w:t>
        </w:r>
      </w:smartTag>
      <w:r w:rsidRPr="00577F25">
        <w:rPr>
          <w:rFonts w:hAnsi="宋体"/>
          <w:color w:val="000000"/>
          <w:sz w:val="24"/>
        </w:rPr>
        <w:t>范围内新建车站、污水处理厂等场所；</w:t>
      </w:r>
    </w:p>
    <w:p w:rsidR="00C079FD" w:rsidRPr="00577F25" w:rsidRDefault="00C079FD" w:rsidP="00C079FD">
      <w:pPr>
        <w:ind w:firstLineChars="200" w:firstLine="480"/>
        <w:rPr>
          <w:color w:val="000000"/>
          <w:sz w:val="24"/>
        </w:rPr>
      </w:pPr>
      <w:r w:rsidRPr="00577F25">
        <w:rPr>
          <w:rFonts w:hAnsi="宋体"/>
          <w:color w:val="000000"/>
          <w:sz w:val="24"/>
        </w:rPr>
        <w:lastRenderedPageBreak/>
        <w:t>（五）周边</w:t>
      </w:r>
      <w:smartTag w:uri="urn:schemas-microsoft-com:office:smarttags" w:element="chmetcnv">
        <w:smartTagPr>
          <w:attr w:name="TCSC" w:val="1"/>
          <w:attr w:name="NumberType" w:val="3"/>
          <w:attr w:name="Negative" w:val="False"/>
          <w:attr w:name="HasSpace" w:val="False"/>
          <w:attr w:name="SourceValue" w:val="1"/>
          <w:attr w:name="UnitName" w:val="千米"/>
        </w:smartTagPr>
        <w:r w:rsidRPr="00577F25">
          <w:rPr>
            <w:rFonts w:hAnsi="宋体"/>
            <w:color w:val="000000"/>
            <w:sz w:val="24"/>
          </w:rPr>
          <w:t>一千米</w:t>
        </w:r>
      </w:smartTag>
      <w:r w:rsidRPr="00577F25">
        <w:rPr>
          <w:rFonts w:hAnsi="宋体"/>
          <w:color w:val="000000"/>
          <w:sz w:val="24"/>
        </w:rPr>
        <w:t>范围内建设殡仪馆、垃圾填埋场、传染病医院和畜禽养殖场所；</w:t>
      </w:r>
    </w:p>
    <w:p w:rsidR="00C079FD" w:rsidRPr="00577F25" w:rsidRDefault="00C079FD" w:rsidP="00C079FD">
      <w:pPr>
        <w:ind w:firstLineChars="200" w:firstLine="480"/>
        <w:rPr>
          <w:color w:val="000000"/>
          <w:sz w:val="24"/>
        </w:rPr>
      </w:pPr>
      <w:r w:rsidRPr="00577F25">
        <w:rPr>
          <w:rFonts w:hAnsi="宋体"/>
          <w:color w:val="000000"/>
          <w:sz w:val="24"/>
        </w:rPr>
        <w:t>（六）其他可能影响中小学校、幼儿园教学秩序和安全的建设活动。</w:t>
      </w:r>
    </w:p>
    <w:p w:rsidR="00C079FD" w:rsidRPr="00577F25" w:rsidRDefault="00C079FD" w:rsidP="00C079FD">
      <w:pPr>
        <w:ind w:firstLineChars="200" w:firstLine="480"/>
        <w:rPr>
          <w:color w:val="000000"/>
          <w:sz w:val="24"/>
        </w:rPr>
      </w:pPr>
      <w:r w:rsidRPr="00577F25">
        <w:rPr>
          <w:rFonts w:hAnsi="宋体"/>
          <w:color w:val="000000"/>
          <w:sz w:val="24"/>
        </w:rPr>
        <w:t>建筑物、构筑物和其他设施毗邻中小学校、幼儿园的，应当严格控制高度和间距，不得妨碍学校的通风、采光和日照；毗邻中小学校、幼儿园预留用地的，不得影响中小学校、幼儿园规划建设的实施。</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第二十一条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中小学校、幼儿园周边应当有良好的交通条件，保障学生、幼儿安全通行：</w:t>
      </w:r>
    </w:p>
    <w:p w:rsidR="00C079FD" w:rsidRPr="00577F25" w:rsidRDefault="00C079FD" w:rsidP="00C079FD">
      <w:pPr>
        <w:ind w:firstLineChars="200" w:firstLine="480"/>
        <w:rPr>
          <w:color w:val="000000"/>
          <w:sz w:val="24"/>
        </w:rPr>
      </w:pPr>
      <w:r w:rsidRPr="00577F25">
        <w:rPr>
          <w:rFonts w:hAnsi="宋体"/>
          <w:color w:val="000000"/>
          <w:sz w:val="24"/>
        </w:rPr>
        <w:t>（一）新建的中小学校、幼儿园主校门应当避开城市快速路和主干道；</w:t>
      </w:r>
    </w:p>
    <w:p w:rsidR="00C079FD" w:rsidRPr="00577F25" w:rsidRDefault="00C079FD" w:rsidP="00C079FD">
      <w:pPr>
        <w:ind w:firstLineChars="200" w:firstLine="480"/>
        <w:rPr>
          <w:color w:val="000000"/>
          <w:sz w:val="24"/>
        </w:rPr>
      </w:pPr>
      <w:r w:rsidRPr="00577F25">
        <w:rPr>
          <w:rFonts w:hAnsi="宋体"/>
          <w:color w:val="000000"/>
          <w:sz w:val="24"/>
        </w:rPr>
        <w:t>（二）校园门口应当设置隔离栏、隔离墩或者升降柱等防冲撞设施；</w:t>
      </w:r>
    </w:p>
    <w:p w:rsidR="00C079FD" w:rsidRPr="00577F25" w:rsidRDefault="00C079FD" w:rsidP="00C079FD">
      <w:pPr>
        <w:ind w:firstLineChars="200" w:firstLine="480"/>
        <w:rPr>
          <w:color w:val="000000"/>
          <w:sz w:val="24"/>
        </w:rPr>
      </w:pPr>
      <w:r w:rsidRPr="00577F25">
        <w:rPr>
          <w:rFonts w:hAnsi="宋体"/>
          <w:color w:val="000000"/>
          <w:sz w:val="24"/>
        </w:rPr>
        <w:t>（三）校园门口周边</w:t>
      </w:r>
      <w:smartTag w:uri="urn:schemas-microsoft-com:office:smarttags" w:element="chmetcnv">
        <w:smartTagPr>
          <w:attr w:name="TCSC" w:val="1"/>
          <w:attr w:name="NumberType" w:val="3"/>
          <w:attr w:name="Negative" w:val="False"/>
          <w:attr w:name="HasSpace" w:val="False"/>
          <w:attr w:name="SourceValue" w:val="50"/>
          <w:attr w:name="UnitName" w:val="米"/>
        </w:smartTagPr>
        <w:r w:rsidRPr="00577F25">
          <w:rPr>
            <w:rFonts w:hAnsi="宋体"/>
            <w:color w:val="000000"/>
            <w:sz w:val="24"/>
          </w:rPr>
          <w:t>五十米</w:t>
        </w:r>
      </w:smartTag>
      <w:r w:rsidRPr="00577F25">
        <w:rPr>
          <w:rFonts w:hAnsi="宋体"/>
          <w:color w:val="000000"/>
          <w:sz w:val="24"/>
        </w:rPr>
        <w:t>区域内，应当设置家长等候区域、临时停车位和校车专用停车位；</w:t>
      </w:r>
    </w:p>
    <w:p w:rsidR="00C079FD" w:rsidRPr="00577F25" w:rsidRDefault="00C079FD" w:rsidP="00C079FD">
      <w:pPr>
        <w:ind w:firstLineChars="200" w:firstLine="480"/>
        <w:rPr>
          <w:color w:val="000000"/>
          <w:sz w:val="24"/>
        </w:rPr>
      </w:pPr>
      <w:r w:rsidRPr="00577F25">
        <w:rPr>
          <w:rFonts w:hAnsi="宋体"/>
          <w:color w:val="000000"/>
          <w:sz w:val="24"/>
        </w:rPr>
        <w:t>（四）校园门口两侧五十至二百米道路上应当设置限速和警示标志，门前道路应当设置人行横道；</w:t>
      </w:r>
    </w:p>
    <w:p w:rsidR="00C079FD" w:rsidRPr="00577F25" w:rsidRDefault="00C079FD" w:rsidP="00C079FD">
      <w:pPr>
        <w:ind w:firstLineChars="200" w:firstLine="480"/>
        <w:rPr>
          <w:color w:val="000000"/>
          <w:sz w:val="24"/>
        </w:rPr>
      </w:pPr>
      <w:r w:rsidRPr="00577F25">
        <w:rPr>
          <w:rFonts w:hAnsi="宋体"/>
          <w:color w:val="000000"/>
          <w:sz w:val="24"/>
        </w:rPr>
        <w:t>（五）校园校门与道路红线之间应当设置不小于</w:t>
      </w:r>
      <w:smartTag w:uri="urn:schemas-microsoft-com:office:smarttags" w:element="chmetcnv">
        <w:smartTagPr>
          <w:attr w:name="TCSC" w:val="1"/>
          <w:attr w:name="NumberType" w:val="3"/>
          <w:attr w:name="Negative" w:val="False"/>
          <w:attr w:name="HasSpace" w:val="False"/>
          <w:attr w:name="SourceValue" w:val="200"/>
          <w:attr w:name="UnitName" w:val="平方米"/>
        </w:smartTagPr>
        <w:r w:rsidRPr="00577F25">
          <w:rPr>
            <w:rFonts w:hAnsi="宋体"/>
            <w:color w:val="000000"/>
            <w:sz w:val="24"/>
          </w:rPr>
          <w:t>二百平方米</w:t>
        </w:r>
      </w:smartTag>
      <w:r w:rsidRPr="00577F25">
        <w:rPr>
          <w:rFonts w:hAnsi="宋体"/>
          <w:color w:val="000000"/>
          <w:sz w:val="24"/>
        </w:rPr>
        <w:t>的交通集散场地；</w:t>
      </w:r>
    </w:p>
    <w:p w:rsidR="00C079FD" w:rsidRPr="00577F25" w:rsidRDefault="00C079FD" w:rsidP="00C079FD">
      <w:pPr>
        <w:ind w:firstLineChars="200" w:firstLine="480"/>
        <w:rPr>
          <w:color w:val="000000"/>
          <w:sz w:val="24"/>
        </w:rPr>
      </w:pPr>
      <w:r w:rsidRPr="00577F25">
        <w:rPr>
          <w:rFonts w:hAnsi="宋体"/>
          <w:color w:val="000000"/>
          <w:sz w:val="24"/>
        </w:rPr>
        <w:lastRenderedPageBreak/>
        <w:t>（六）中小学校、幼儿园门前和周边道路具备建设条件的，应当按照规定设置人行天桥或者地下通道。</w:t>
      </w:r>
    </w:p>
    <w:p w:rsidR="00C079FD" w:rsidRPr="00577F25" w:rsidRDefault="00C079FD" w:rsidP="00C079FD">
      <w:pPr>
        <w:ind w:firstLineChars="200" w:firstLine="480"/>
        <w:rPr>
          <w:color w:val="000000"/>
          <w:sz w:val="24"/>
        </w:rPr>
      </w:pPr>
      <w:r w:rsidRPr="00577F25">
        <w:rPr>
          <w:rFonts w:hAnsi="宋体"/>
          <w:color w:val="000000"/>
          <w:sz w:val="24"/>
        </w:rPr>
        <w:t>需要临时开挖或者截断学校外部通行道路的，建设单位应当于开工十日前书面告知学校，并采取相应的安全通行措施，不得影响正常的教育教学活动。</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第二十二条</w:t>
      </w:r>
      <w:r>
        <w:rPr>
          <w:rFonts w:hAnsi="宋体" w:hint="eastAsia"/>
          <w:color w:val="000000"/>
          <w:sz w:val="24"/>
        </w:rPr>
        <w:t xml:space="preserve">  </w:t>
      </w:r>
      <w:r w:rsidRPr="00577F25">
        <w:rPr>
          <w:rFonts w:hAnsi="宋体"/>
          <w:color w:val="000000"/>
          <w:sz w:val="24"/>
        </w:rPr>
        <w:t>政府举办的中小学校、幼儿园建设资金按照下列渠道筹措：</w:t>
      </w:r>
    </w:p>
    <w:p w:rsidR="00C079FD" w:rsidRPr="00577F25" w:rsidRDefault="00C079FD" w:rsidP="00C079FD">
      <w:pPr>
        <w:ind w:firstLineChars="200" w:firstLine="480"/>
        <w:rPr>
          <w:color w:val="000000"/>
          <w:sz w:val="24"/>
        </w:rPr>
      </w:pPr>
      <w:r w:rsidRPr="00577F25">
        <w:rPr>
          <w:rFonts w:hAnsi="宋体"/>
          <w:color w:val="000000"/>
          <w:sz w:val="24"/>
        </w:rPr>
        <w:t>（一）财政拨款；</w:t>
      </w:r>
    </w:p>
    <w:p w:rsidR="00C079FD" w:rsidRPr="00577F25" w:rsidRDefault="00C079FD" w:rsidP="00C079FD">
      <w:pPr>
        <w:ind w:firstLineChars="200" w:firstLine="480"/>
        <w:rPr>
          <w:color w:val="000000"/>
          <w:sz w:val="24"/>
        </w:rPr>
      </w:pPr>
      <w:r w:rsidRPr="00577F25">
        <w:rPr>
          <w:rFonts w:hAnsi="宋体"/>
          <w:color w:val="000000"/>
          <w:sz w:val="24"/>
        </w:rPr>
        <w:t>（二）社会组织和个人的捐资；</w:t>
      </w:r>
    </w:p>
    <w:p w:rsidR="00C079FD" w:rsidRPr="00577F25" w:rsidRDefault="00C079FD" w:rsidP="00C079FD">
      <w:pPr>
        <w:ind w:firstLineChars="200" w:firstLine="480"/>
        <w:rPr>
          <w:color w:val="000000"/>
          <w:sz w:val="24"/>
        </w:rPr>
      </w:pPr>
      <w:r w:rsidRPr="00577F25">
        <w:rPr>
          <w:rFonts w:hAnsi="宋体"/>
          <w:color w:val="000000"/>
          <w:sz w:val="24"/>
        </w:rPr>
        <w:t>（三）其他渠道。</w:t>
      </w:r>
    </w:p>
    <w:p w:rsidR="00C079FD" w:rsidRPr="00577F25" w:rsidRDefault="00C079FD" w:rsidP="00C079FD">
      <w:pPr>
        <w:ind w:firstLineChars="200" w:firstLine="480"/>
        <w:rPr>
          <w:color w:val="000000"/>
          <w:sz w:val="24"/>
        </w:rPr>
      </w:pPr>
      <w:r w:rsidRPr="00577F25">
        <w:rPr>
          <w:rFonts w:hAnsi="宋体"/>
          <w:color w:val="000000"/>
          <w:sz w:val="24"/>
        </w:rPr>
        <w:t>市、县（市、区）人民政府应当对中小学校、幼儿园建设资金进行严格监管，任何单位和个人不得侵占、截留或者挪用。</w:t>
      </w:r>
    </w:p>
    <w:p w:rsidR="00C079FD" w:rsidRPr="00577F25" w:rsidRDefault="00C079FD" w:rsidP="00C079FD">
      <w:pPr>
        <w:ind w:firstLineChars="200" w:firstLine="480"/>
        <w:rPr>
          <w:color w:val="000000"/>
          <w:sz w:val="24"/>
        </w:rPr>
      </w:pPr>
      <w:r w:rsidRPr="00577F25">
        <w:rPr>
          <w:rFonts w:hAnsi="宋体"/>
          <w:color w:val="000000"/>
          <w:sz w:val="24"/>
        </w:rPr>
        <w:t>鼓励社会组织和个人依法捐资建设中小学校、幼儿园。</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第二十三条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市人民政府应当组织有关部门编制中小学校、幼儿园建设需要缴纳的行政事业性收费和政府性基金清单，并向社会公布。</w:t>
      </w:r>
    </w:p>
    <w:p w:rsidR="00C079FD" w:rsidRDefault="00C079FD" w:rsidP="00C079FD">
      <w:pPr>
        <w:ind w:firstLineChars="200" w:firstLine="480"/>
        <w:rPr>
          <w:rFonts w:hAnsi="宋体"/>
          <w:color w:val="000000"/>
          <w:sz w:val="24"/>
        </w:rPr>
      </w:pPr>
      <w:r w:rsidRPr="00577F25">
        <w:rPr>
          <w:rFonts w:hAnsi="宋体"/>
          <w:color w:val="000000"/>
          <w:sz w:val="24"/>
        </w:rPr>
        <w:t>对于国家、省规定减免以及本市有权减免的收费项目，应当予以减免。</w:t>
      </w:r>
    </w:p>
    <w:p w:rsidR="00C079FD" w:rsidRDefault="00C079FD" w:rsidP="00C079FD">
      <w:pPr>
        <w:pStyle w:val="2"/>
      </w:pPr>
      <w:r w:rsidRPr="00577F25">
        <w:lastRenderedPageBreak/>
        <w:t>第四章</w:t>
      </w:r>
      <w:r>
        <w:rPr>
          <w:rFonts w:hint="eastAsia"/>
        </w:rPr>
        <w:t xml:space="preserve">  </w:t>
      </w:r>
      <w:r w:rsidRPr="00577F25">
        <w:t>配建和移交</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第二十四条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市、县（市、区）人民政府进行城市新区开发、旧城区改造以及其他居住区项目建设，应当按照中小学校、幼儿园布局专项规划要求统筹配套建设中小学校、幼儿园。</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第二十五条</w:t>
      </w:r>
      <w:r>
        <w:rPr>
          <w:rFonts w:hAnsi="宋体" w:hint="eastAsia"/>
          <w:color w:val="000000"/>
          <w:sz w:val="24"/>
        </w:rPr>
        <w:t xml:space="preserve">  </w:t>
      </w:r>
      <w:r w:rsidRPr="00577F25">
        <w:rPr>
          <w:rFonts w:hAnsi="宋体"/>
          <w:color w:val="000000"/>
          <w:sz w:val="24"/>
        </w:rPr>
        <w:t>配套建设的中小学校、幼儿园，由政府组织建设或者委托开发建设单位建设。</w:t>
      </w:r>
    </w:p>
    <w:p w:rsidR="00C079FD" w:rsidRPr="00577F25" w:rsidRDefault="00C079FD" w:rsidP="00C079FD">
      <w:pPr>
        <w:ind w:firstLineChars="200" w:firstLine="480"/>
        <w:rPr>
          <w:color w:val="000000"/>
          <w:sz w:val="24"/>
        </w:rPr>
      </w:pPr>
      <w:r w:rsidRPr="00577F25">
        <w:rPr>
          <w:rFonts w:hAnsi="宋体"/>
          <w:color w:val="000000"/>
          <w:sz w:val="24"/>
        </w:rPr>
        <w:t>政府组织建设的，市、县（市、区）人民政府应当统筹建设用地和建设费用。</w:t>
      </w:r>
    </w:p>
    <w:p w:rsidR="00C079FD" w:rsidRPr="00577F25" w:rsidRDefault="00C079FD" w:rsidP="00C079FD">
      <w:pPr>
        <w:ind w:firstLineChars="200" w:firstLine="480"/>
        <w:rPr>
          <w:color w:val="000000"/>
          <w:sz w:val="24"/>
        </w:rPr>
      </w:pPr>
      <w:r w:rsidRPr="00577F25">
        <w:rPr>
          <w:rFonts w:hAnsi="宋体"/>
          <w:color w:val="000000"/>
          <w:sz w:val="24"/>
        </w:rPr>
        <w:t>委托开发建设单位建设的，应当在土地出让公告及出让合同中明确配建内容、规模、标准要求、产权归属、无偿移交以及违约责任等主要事项。</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第二十六条</w:t>
      </w:r>
      <w:r>
        <w:rPr>
          <w:rFonts w:hAnsi="宋体" w:hint="eastAsia"/>
          <w:color w:val="000000"/>
          <w:sz w:val="24"/>
        </w:rPr>
        <w:t xml:space="preserve">  </w:t>
      </w:r>
      <w:r w:rsidRPr="00577F25">
        <w:rPr>
          <w:rFonts w:hAnsi="宋体"/>
          <w:color w:val="000000"/>
          <w:sz w:val="24"/>
        </w:rPr>
        <w:t>配套建设的中小学校、幼儿园应当与居住区建设项目同步设计、同步施工、同步验收、同步交付使用。</w:t>
      </w:r>
    </w:p>
    <w:p w:rsidR="00C079FD" w:rsidRPr="00577F25" w:rsidRDefault="00C079FD" w:rsidP="00C079FD">
      <w:pPr>
        <w:ind w:firstLineChars="200" w:firstLine="480"/>
        <w:rPr>
          <w:color w:val="000000"/>
          <w:sz w:val="24"/>
        </w:rPr>
      </w:pPr>
      <w:r w:rsidRPr="00577F25">
        <w:rPr>
          <w:rFonts w:hAnsi="宋体"/>
          <w:color w:val="000000"/>
          <w:sz w:val="24"/>
        </w:rPr>
        <w:t>居住区建设项目分期建设的，应当与首期居住区建设项目同步设计、同步施工、同步验收、同步交付使用。</w:t>
      </w:r>
    </w:p>
    <w:p w:rsidR="00C079FD" w:rsidRPr="00577F25" w:rsidRDefault="00C079FD" w:rsidP="00C079FD">
      <w:pPr>
        <w:ind w:firstLineChars="200" w:firstLine="480"/>
        <w:rPr>
          <w:color w:val="000000"/>
          <w:sz w:val="24"/>
        </w:rPr>
      </w:pPr>
      <w:r w:rsidRPr="00577F25">
        <w:rPr>
          <w:rFonts w:hAnsi="宋体"/>
          <w:color w:val="000000"/>
          <w:sz w:val="24"/>
        </w:rPr>
        <w:t>配套建设的中小学校、幼儿园建设方案，应当书面征求教育行政部门意见。</w:t>
      </w:r>
    </w:p>
    <w:p w:rsidR="00C079FD" w:rsidRPr="00577F25" w:rsidRDefault="00C079FD" w:rsidP="00C079FD">
      <w:pPr>
        <w:ind w:firstLineChars="200" w:firstLine="480"/>
        <w:rPr>
          <w:color w:val="000000"/>
          <w:sz w:val="24"/>
        </w:rPr>
      </w:pPr>
      <w:r w:rsidRPr="005363D7">
        <w:rPr>
          <w:rFonts w:ascii="黑体" w:eastAsia="黑体" w:hAnsi="黑体"/>
          <w:color w:val="000000"/>
          <w:sz w:val="24"/>
        </w:rPr>
        <w:lastRenderedPageBreak/>
        <w:t>第二十七条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自然资源和规划部门应当对开发建设单位配套建设的中小学校、幼儿园是否符合规划条件、许可内容和建设时序进行核实。</w:t>
      </w:r>
    </w:p>
    <w:p w:rsidR="00C079FD" w:rsidRPr="00577F25" w:rsidRDefault="00C079FD" w:rsidP="00C079FD">
      <w:pPr>
        <w:ind w:firstLineChars="200" w:firstLine="480"/>
        <w:rPr>
          <w:color w:val="000000"/>
          <w:sz w:val="24"/>
        </w:rPr>
      </w:pPr>
      <w:r w:rsidRPr="00577F25">
        <w:rPr>
          <w:rFonts w:hAnsi="宋体"/>
          <w:color w:val="000000"/>
          <w:sz w:val="24"/>
        </w:rPr>
        <w:t>未经核实或者经核实不符合规划条件、许可内容和建设时序的，自然资源和规划部门不予出具居住区建设项目建设工程规划核实合格手续。</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第二十八条</w:t>
      </w:r>
      <w:r>
        <w:rPr>
          <w:rFonts w:hAnsi="宋体" w:hint="eastAsia"/>
          <w:color w:val="000000"/>
          <w:sz w:val="24"/>
        </w:rPr>
        <w:t xml:space="preserve">  </w:t>
      </w:r>
      <w:r w:rsidRPr="00577F25">
        <w:rPr>
          <w:rFonts w:hAnsi="宋体"/>
          <w:color w:val="000000"/>
          <w:sz w:val="24"/>
        </w:rPr>
        <w:t>配套建设的中小学校、幼儿园建设项目竣工验收时，验收组织单位应当通知教育行政部门参加。</w:t>
      </w:r>
    </w:p>
    <w:p w:rsidR="00C079FD" w:rsidRPr="00577F25" w:rsidRDefault="00C079FD" w:rsidP="00C079FD">
      <w:pPr>
        <w:ind w:firstLineChars="200" w:firstLine="480"/>
        <w:rPr>
          <w:color w:val="000000"/>
          <w:sz w:val="24"/>
        </w:rPr>
      </w:pPr>
      <w:r w:rsidRPr="00577F25">
        <w:rPr>
          <w:rFonts w:hAnsi="宋体"/>
          <w:color w:val="000000"/>
          <w:sz w:val="24"/>
        </w:rPr>
        <w:t>配套建设的中小学校、幼儿园不符合规划条件、设计方案、建设标准和规范要求的，住房城乡建设部门不予办理居住区建设项目竣工验收备案手续，不动产登记部门不予办理居住区建设项目产权登记手续。</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第二十九条</w:t>
      </w:r>
      <w:r>
        <w:rPr>
          <w:rFonts w:hAnsi="宋体" w:hint="eastAsia"/>
          <w:color w:val="000000"/>
          <w:sz w:val="24"/>
        </w:rPr>
        <w:t xml:space="preserve">  </w:t>
      </w:r>
      <w:r w:rsidRPr="00577F25">
        <w:rPr>
          <w:rFonts w:hAnsi="宋体"/>
          <w:color w:val="000000"/>
          <w:sz w:val="24"/>
        </w:rPr>
        <w:t>开发建设单位应当在竣工验收合格后三个月内，按照协议移交配套建设的中小学校、幼儿园项目和相关资料，并协助办理不动产登记。教育行政部门或者其指定的接收单位应当及时办理接管手续。</w:t>
      </w:r>
    </w:p>
    <w:p w:rsidR="00C079FD" w:rsidRPr="00577F25" w:rsidRDefault="00C079FD" w:rsidP="00C079FD">
      <w:pPr>
        <w:ind w:firstLineChars="200" w:firstLine="480"/>
        <w:rPr>
          <w:color w:val="000000"/>
          <w:sz w:val="24"/>
        </w:rPr>
      </w:pPr>
      <w:r w:rsidRPr="00577F25">
        <w:rPr>
          <w:rFonts w:hAnsi="宋体"/>
          <w:color w:val="000000"/>
          <w:sz w:val="24"/>
        </w:rPr>
        <w:t>配套建设的中小学校、幼儿园移交产生的税费，由本级人民政府列入财政预算。</w:t>
      </w:r>
    </w:p>
    <w:p w:rsidR="00C079FD" w:rsidRDefault="00C079FD" w:rsidP="00C079FD">
      <w:pPr>
        <w:ind w:firstLineChars="200" w:firstLine="480"/>
        <w:rPr>
          <w:rFonts w:hAnsi="宋体"/>
          <w:color w:val="000000"/>
          <w:sz w:val="24"/>
        </w:rPr>
      </w:pPr>
      <w:r w:rsidRPr="005363D7">
        <w:rPr>
          <w:rFonts w:ascii="黑体" w:eastAsia="黑体" w:hAnsi="黑体"/>
          <w:color w:val="000000"/>
          <w:sz w:val="24"/>
        </w:rPr>
        <w:t>第三十条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配套建设的中小学校、幼儿园移交前由</w:t>
      </w:r>
      <w:r w:rsidRPr="00577F25">
        <w:rPr>
          <w:rFonts w:hAnsi="宋体"/>
          <w:color w:val="000000"/>
          <w:sz w:val="24"/>
        </w:rPr>
        <w:lastRenderedPageBreak/>
        <w:t>开发建设单位负责管理维护，并承担相应费用；移交后由教育行政部门或者其指定的接收单位负责管理维护，并承担相应费用。</w:t>
      </w:r>
    </w:p>
    <w:p w:rsidR="00C079FD" w:rsidRDefault="00C079FD" w:rsidP="00C079FD">
      <w:pPr>
        <w:pStyle w:val="2"/>
      </w:pPr>
      <w:r w:rsidRPr="00577F25">
        <w:t>第五章</w:t>
      </w:r>
      <w:r>
        <w:rPr>
          <w:rFonts w:hint="eastAsia"/>
        </w:rPr>
        <w:t xml:space="preserve">  </w:t>
      </w:r>
      <w:r w:rsidRPr="00577F25">
        <w:t>法律责任</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第三十一条</w:t>
      </w:r>
      <w:r>
        <w:rPr>
          <w:rFonts w:hAnsi="宋体" w:hint="eastAsia"/>
          <w:color w:val="000000"/>
          <w:sz w:val="24"/>
        </w:rPr>
        <w:t xml:space="preserve">  </w:t>
      </w:r>
      <w:r w:rsidRPr="00577F25">
        <w:rPr>
          <w:rFonts w:hAnsi="宋体"/>
          <w:color w:val="000000"/>
          <w:sz w:val="24"/>
        </w:rPr>
        <w:t>违反本条例规定的行为，其他法律、法规已有法律责任规定的，从其规定。</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第三十二条</w:t>
      </w:r>
      <w:r>
        <w:rPr>
          <w:rFonts w:hAnsi="宋体" w:hint="eastAsia"/>
          <w:color w:val="000000"/>
          <w:sz w:val="24"/>
        </w:rPr>
        <w:t xml:space="preserve">  </w:t>
      </w:r>
      <w:r w:rsidRPr="00577F25">
        <w:rPr>
          <w:rFonts w:hAnsi="宋体"/>
          <w:color w:val="000000"/>
          <w:sz w:val="24"/>
        </w:rPr>
        <w:t>违反本条例规定，市、县（市、区）人民政府有关部门及其工作人员有下列情形之一的，由有关机关责令限期改正，通报批评；情节严重的，对直接负责的主管人员和其他直接责任人员依法给予处分；构成犯罪的，依法追究刑事责任：</w:t>
      </w:r>
    </w:p>
    <w:p w:rsidR="00C079FD" w:rsidRPr="00577F25" w:rsidRDefault="00C079FD" w:rsidP="00C079FD">
      <w:pPr>
        <w:ind w:firstLineChars="200" w:firstLine="480"/>
        <w:rPr>
          <w:color w:val="000000"/>
          <w:sz w:val="24"/>
        </w:rPr>
      </w:pPr>
      <w:r w:rsidRPr="00577F25">
        <w:rPr>
          <w:rFonts w:hAnsi="宋体"/>
          <w:color w:val="000000"/>
          <w:sz w:val="24"/>
        </w:rPr>
        <w:t>（一）未将中小学校、幼儿园规划建设纳入国民经济和社会发展规划、国土空间规划的；</w:t>
      </w:r>
    </w:p>
    <w:p w:rsidR="00C079FD" w:rsidRPr="00577F25" w:rsidRDefault="00C079FD" w:rsidP="00C079FD">
      <w:pPr>
        <w:ind w:firstLineChars="200" w:firstLine="480"/>
        <w:rPr>
          <w:color w:val="000000"/>
          <w:sz w:val="24"/>
        </w:rPr>
      </w:pPr>
      <w:r w:rsidRPr="00577F25">
        <w:rPr>
          <w:rFonts w:hAnsi="宋体"/>
          <w:color w:val="000000"/>
          <w:sz w:val="24"/>
        </w:rPr>
        <w:t>（二）未按照本条例规定组织编制、审批、备案中小学校、幼儿园布局专项规划的；</w:t>
      </w:r>
    </w:p>
    <w:p w:rsidR="00C079FD" w:rsidRPr="00577F25" w:rsidRDefault="00C079FD" w:rsidP="00C079FD">
      <w:pPr>
        <w:ind w:firstLineChars="200" w:firstLine="480"/>
        <w:rPr>
          <w:color w:val="000000"/>
          <w:sz w:val="24"/>
        </w:rPr>
      </w:pPr>
      <w:r w:rsidRPr="00577F25">
        <w:rPr>
          <w:rFonts w:hAnsi="宋体"/>
          <w:color w:val="000000"/>
          <w:sz w:val="24"/>
        </w:rPr>
        <w:t>（三）擅自变更中小学校、幼儿园布局专项规划的；</w:t>
      </w:r>
    </w:p>
    <w:p w:rsidR="00C079FD" w:rsidRPr="00577F25" w:rsidRDefault="00C079FD" w:rsidP="00C079FD">
      <w:pPr>
        <w:ind w:firstLineChars="200" w:firstLine="480"/>
        <w:rPr>
          <w:color w:val="000000"/>
          <w:sz w:val="24"/>
        </w:rPr>
      </w:pPr>
      <w:r w:rsidRPr="00577F25">
        <w:rPr>
          <w:rFonts w:hAnsi="宋体"/>
          <w:color w:val="000000"/>
          <w:sz w:val="24"/>
        </w:rPr>
        <w:t>（四）未按照中小学校、幼儿园布局专项规划预留中小学校、幼儿园建设用地的；</w:t>
      </w:r>
    </w:p>
    <w:p w:rsidR="00C079FD" w:rsidRPr="00577F25" w:rsidRDefault="00C079FD" w:rsidP="00C079FD">
      <w:pPr>
        <w:ind w:firstLineChars="200" w:firstLine="480"/>
        <w:rPr>
          <w:color w:val="000000"/>
          <w:sz w:val="24"/>
        </w:rPr>
      </w:pPr>
      <w:r w:rsidRPr="00577F25">
        <w:rPr>
          <w:rFonts w:hAnsi="宋体"/>
          <w:color w:val="000000"/>
          <w:sz w:val="24"/>
        </w:rPr>
        <w:t>（五）擅自改变预留的中小学校、幼儿园建设用地</w:t>
      </w:r>
      <w:r w:rsidRPr="00577F25">
        <w:rPr>
          <w:rFonts w:hAnsi="宋体"/>
          <w:color w:val="000000"/>
          <w:sz w:val="24"/>
        </w:rPr>
        <w:lastRenderedPageBreak/>
        <w:t>性质的；</w:t>
      </w:r>
    </w:p>
    <w:p w:rsidR="00C079FD" w:rsidRPr="00577F25" w:rsidRDefault="00C079FD" w:rsidP="00C079FD">
      <w:pPr>
        <w:ind w:firstLineChars="200" w:firstLine="480"/>
        <w:rPr>
          <w:color w:val="000000"/>
          <w:sz w:val="24"/>
        </w:rPr>
      </w:pPr>
      <w:r w:rsidRPr="00577F25">
        <w:rPr>
          <w:rFonts w:hAnsi="宋体"/>
          <w:color w:val="000000"/>
          <w:sz w:val="24"/>
        </w:rPr>
        <w:t>（六）未按照本条例规定将中小学校、幼儿园建设列入政府年度投资建设计划进行建设的；</w:t>
      </w:r>
    </w:p>
    <w:p w:rsidR="00C079FD" w:rsidRPr="00577F25" w:rsidRDefault="00C079FD" w:rsidP="00C079FD">
      <w:pPr>
        <w:ind w:firstLineChars="200" w:firstLine="480"/>
        <w:rPr>
          <w:color w:val="000000"/>
          <w:sz w:val="24"/>
        </w:rPr>
      </w:pPr>
      <w:r w:rsidRPr="00577F25">
        <w:rPr>
          <w:rFonts w:hAnsi="宋体"/>
          <w:color w:val="000000"/>
          <w:sz w:val="24"/>
        </w:rPr>
        <w:t>（七）未按照先建后拆的原则做好中小学校、幼儿园的就近补偿建设或者重新建设的；</w:t>
      </w:r>
    </w:p>
    <w:p w:rsidR="00C079FD" w:rsidRPr="00577F25" w:rsidRDefault="00C079FD" w:rsidP="00C079FD">
      <w:pPr>
        <w:ind w:firstLineChars="200" w:firstLine="480"/>
        <w:rPr>
          <w:color w:val="000000"/>
          <w:sz w:val="24"/>
        </w:rPr>
      </w:pPr>
      <w:r w:rsidRPr="00577F25">
        <w:rPr>
          <w:rFonts w:hAnsi="宋体"/>
          <w:color w:val="000000"/>
          <w:sz w:val="24"/>
        </w:rPr>
        <w:t>（八）配套建设的中小学校、幼儿园不符合规划条件、许可内容和建设时序，为居住区建设项目出具建设工程规划核实合格手续的；</w:t>
      </w:r>
    </w:p>
    <w:p w:rsidR="00C079FD" w:rsidRPr="00577F25" w:rsidRDefault="00C079FD" w:rsidP="00C079FD">
      <w:pPr>
        <w:ind w:firstLineChars="200" w:firstLine="480"/>
        <w:rPr>
          <w:color w:val="000000"/>
          <w:sz w:val="24"/>
        </w:rPr>
      </w:pPr>
      <w:r w:rsidRPr="00577F25">
        <w:rPr>
          <w:rFonts w:hAnsi="宋体"/>
          <w:color w:val="000000"/>
          <w:sz w:val="24"/>
        </w:rPr>
        <w:t>（九）配套建设的中小学校、幼儿园不符合规划条件、设计方案、建设标准和规范要求，为居住区建设项目办理竣工验收备案或不动产登记产权手续的；</w:t>
      </w:r>
    </w:p>
    <w:p w:rsidR="00C079FD" w:rsidRPr="00577F25" w:rsidRDefault="00C079FD" w:rsidP="00C079FD">
      <w:pPr>
        <w:ind w:firstLineChars="200" w:firstLine="480"/>
        <w:rPr>
          <w:color w:val="000000"/>
          <w:sz w:val="24"/>
        </w:rPr>
      </w:pPr>
      <w:r w:rsidRPr="00577F25">
        <w:rPr>
          <w:rFonts w:hAnsi="宋体"/>
          <w:color w:val="000000"/>
          <w:sz w:val="24"/>
        </w:rPr>
        <w:t>（十）其他玩忽职守、滥用职权、徇私舞弊的行为。</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第三十三条</w:t>
      </w:r>
      <w:r w:rsidRPr="005363D7">
        <w:rPr>
          <w:rFonts w:ascii="黑体" w:eastAsia="黑体" w:hAnsi="黑体" w:hint="eastAsia"/>
          <w:color w:val="000000"/>
          <w:sz w:val="24"/>
        </w:rPr>
        <w:t xml:space="preserve"> </w:t>
      </w:r>
      <w:r>
        <w:rPr>
          <w:rFonts w:hAnsi="宋体" w:hint="eastAsia"/>
          <w:color w:val="000000"/>
          <w:sz w:val="24"/>
        </w:rPr>
        <w:t xml:space="preserve"> </w:t>
      </w:r>
      <w:r w:rsidRPr="00577F25">
        <w:rPr>
          <w:rFonts w:hAnsi="宋体"/>
          <w:color w:val="000000"/>
          <w:sz w:val="24"/>
        </w:rPr>
        <w:t>违反本条例第十九条规定，在中小学校、幼儿园用地范围内、围墙上建造或者倚建与教育教学无关的建筑物、构筑物及其他设施的，由城管执法部门责令停止建设、限期拆除；逾期不拆除的，由本级人民政府责成有关部门依法强制拆除。</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第三十四</w:t>
      </w:r>
      <w:r w:rsidRPr="00F82BA5">
        <w:rPr>
          <w:rFonts w:ascii="黑体" w:eastAsia="黑体" w:hAnsi="黑体"/>
          <w:color w:val="000000"/>
          <w:sz w:val="24"/>
        </w:rPr>
        <w:t>条</w:t>
      </w:r>
      <w:r w:rsidR="00F82BA5">
        <w:rPr>
          <w:rFonts w:hAnsi="宋体" w:hint="eastAsia"/>
          <w:color w:val="000000"/>
          <w:sz w:val="24"/>
        </w:rPr>
        <w:t xml:space="preserve">  </w:t>
      </w:r>
      <w:r w:rsidRPr="00577F25">
        <w:rPr>
          <w:rFonts w:hAnsi="宋体"/>
          <w:color w:val="000000"/>
          <w:sz w:val="24"/>
        </w:rPr>
        <w:t>违反本条例第二十条第二款规定，毗邻现有中小学校、幼儿园建筑物、构筑物和其他设施妨碍学校的通风、采光和日照，或者影响中小学校、幼儿</w:t>
      </w:r>
      <w:r w:rsidRPr="00577F25">
        <w:rPr>
          <w:rFonts w:hAnsi="宋体"/>
          <w:color w:val="000000"/>
          <w:sz w:val="24"/>
        </w:rPr>
        <w:lastRenderedPageBreak/>
        <w:t>园规划建设实施的，由城管执法部门责令停止建设、限期拆除；逾期不拆除的，由本级人民政府责成有关部门依法强制拆除。</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第三十五条</w:t>
      </w:r>
      <w:r>
        <w:rPr>
          <w:rFonts w:hAnsi="宋体" w:hint="eastAsia"/>
          <w:color w:val="000000"/>
          <w:sz w:val="24"/>
        </w:rPr>
        <w:t xml:space="preserve">  </w:t>
      </w:r>
      <w:r w:rsidRPr="00577F25">
        <w:rPr>
          <w:rFonts w:hAnsi="宋体"/>
          <w:color w:val="000000"/>
          <w:sz w:val="24"/>
        </w:rPr>
        <w:t>违反本条例第二十六条第一款、第二款规定，配套建设中小学校、幼儿园未与居住区建设项目同步设计、同步施工、同步验收、同步交付使用的，由城管执法部门责令限期改正；逾期不改正的，责令停止同期居住区项目建设。</w:t>
      </w:r>
    </w:p>
    <w:p w:rsidR="00C079FD" w:rsidRDefault="00C079FD" w:rsidP="00C079FD">
      <w:pPr>
        <w:ind w:firstLineChars="200" w:firstLine="480"/>
        <w:rPr>
          <w:rFonts w:hAnsi="宋体"/>
          <w:color w:val="000000"/>
          <w:sz w:val="24"/>
        </w:rPr>
      </w:pPr>
      <w:r w:rsidRPr="005363D7">
        <w:rPr>
          <w:rFonts w:ascii="黑体" w:eastAsia="黑体" w:hAnsi="黑体"/>
          <w:color w:val="000000"/>
          <w:sz w:val="24"/>
        </w:rPr>
        <w:t>第三十六条</w:t>
      </w:r>
      <w:r>
        <w:rPr>
          <w:rFonts w:hAnsi="宋体" w:hint="eastAsia"/>
          <w:color w:val="000000"/>
          <w:sz w:val="24"/>
        </w:rPr>
        <w:t xml:space="preserve">  </w:t>
      </w:r>
      <w:r w:rsidRPr="00577F25">
        <w:rPr>
          <w:rFonts w:hAnsi="宋体"/>
          <w:color w:val="000000"/>
          <w:sz w:val="24"/>
        </w:rPr>
        <w:t>违反本条例第二十九条第一款规定，在竣工验收合格后三个月内，未按照协议移交配套建设的中小学校、幼儿园项目和相关资料，并协助办理不动产登记的，由住房城乡建设部门作出限期移交决定；逾期不移交的，依法申请人民法院强制执行。</w:t>
      </w:r>
    </w:p>
    <w:p w:rsidR="00C079FD" w:rsidRDefault="00C079FD" w:rsidP="00C079FD">
      <w:pPr>
        <w:pStyle w:val="2"/>
      </w:pPr>
      <w:r w:rsidRPr="00577F25">
        <w:t>第六章</w:t>
      </w:r>
      <w:r>
        <w:rPr>
          <w:rFonts w:hint="eastAsia"/>
        </w:rPr>
        <w:t xml:space="preserve">  </w:t>
      </w:r>
      <w:r w:rsidRPr="00577F25">
        <w:t>附</w:t>
      </w:r>
      <w:r>
        <w:rPr>
          <w:rFonts w:hint="eastAsia"/>
        </w:rPr>
        <w:t xml:space="preserve">  </w:t>
      </w:r>
      <w:r w:rsidRPr="00577F25">
        <w:t>则</w:t>
      </w:r>
    </w:p>
    <w:p w:rsidR="00C079FD" w:rsidRPr="00577F25" w:rsidRDefault="00C079FD" w:rsidP="00C079FD">
      <w:pPr>
        <w:ind w:firstLineChars="200" w:firstLine="480"/>
        <w:rPr>
          <w:color w:val="000000"/>
          <w:sz w:val="24"/>
        </w:rPr>
      </w:pPr>
      <w:r w:rsidRPr="005363D7">
        <w:rPr>
          <w:rFonts w:ascii="黑体" w:eastAsia="黑体" w:hAnsi="黑体"/>
          <w:color w:val="000000"/>
          <w:sz w:val="24"/>
        </w:rPr>
        <w:t>第三十七条</w:t>
      </w:r>
      <w:r>
        <w:rPr>
          <w:rFonts w:hAnsi="宋体" w:hint="eastAsia"/>
          <w:color w:val="000000"/>
          <w:sz w:val="24"/>
        </w:rPr>
        <w:t xml:space="preserve">  </w:t>
      </w:r>
      <w:r w:rsidRPr="00577F25">
        <w:rPr>
          <w:rFonts w:hAnsi="宋体"/>
          <w:color w:val="000000"/>
          <w:sz w:val="24"/>
        </w:rPr>
        <w:t>本条例自</w:t>
      </w:r>
      <w:smartTag w:uri="urn:schemas-microsoft-com:office:smarttags" w:element="chsdate">
        <w:smartTagPr>
          <w:attr w:name="Year" w:val="2022"/>
          <w:attr w:name="Month" w:val="3"/>
          <w:attr w:name="Day" w:val="1"/>
          <w:attr w:name="IsLunarDate" w:val="False"/>
          <w:attr w:name="IsROCDate" w:val="False"/>
        </w:smartTagPr>
        <w:r w:rsidRPr="00577F25">
          <w:rPr>
            <w:color w:val="000000"/>
            <w:sz w:val="24"/>
          </w:rPr>
          <w:t>2022</w:t>
        </w:r>
        <w:r w:rsidRPr="00577F25">
          <w:rPr>
            <w:rFonts w:hAnsi="宋体"/>
            <w:color w:val="000000"/>
            <w:sz w:val="24"/>
          </w:rPr>
          <w:t>年</w:t>
        </w:r>
        <w:r w:rsidRPr="00577F25">
          <w:rPr>
            <w:color w:val="000000"/>
            <w:sz w:val="24"/>
          </w:rPr>
          <w:t>3</w:t>
        </w:r>
        <w:r w:rsidRPr="00577F25">
          <w:rPr>
            <w:rFonts w:hAnsi="宋体"/>
            <w:color w:val="000000"/>
            <w:sz w:val="24"/>
          </w:rPr>
          <w:t>月</w:t>
        </w:r>
        <w:r w:rsidRPr="00577F25">
          <w:rPr>
            <w:color w:val="000000"/>
            <w:sz w:val="24"/>
          </w:rPr>
          <w:t>1</w:t>
        </w:r>
        <w:r w:rsidRPr="00577F25">
          <w:rPr>
            <w:rFonts w:hAnsi="宋体"/>
            <w:color w:val="000000"/>
            <w:sz w:val="24"/>
          </w:rPr>
          <w:t>日起</w:t>
        </w:r>
      </w:smartTag>
      <w:r w:rsidRPr="00577F25">
        <w:rPr>
          <w:rFonts w:hAnsi="宋体"/>
          <w:color w:val="000000"/>
          <w:sz w:val="24"/>
        </w:rPr>
        <w:t>施行。</w:t>
      </w:r>
    </w:p>
    <w:p w:rsidR="007C13D1" w:rsidRPr="00C079FD" w:rsidRDefault="007C13D1"/>
    <w:sectPr w:rsidR="007C13D1" w:rsidRPr="00C079FD" w:rsidSect="00391BFB">
      <w:footerReference w:type="default" r:id="rId6"/>
      <w:pgSz w:w="8392" w:h="11907" w:code="11"/>
      <w:pgMar w:top="1247" w:right="1361" w:bottom="1247" w:left="1361" w:header="851" w:footer="851" w:gutter="0"/>
      <w:pgNumType w:start="1"/>
      <w:cols w:space="720"/>
      <w:docGrid w:type="lines" w:linePitch="4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EA" w:rsidRDefault="00937CEA" w:rsidP="00C079FD">
      <w:r>
        <w:separator/>
      </w:r>
    </w:p>
  </w:endnote>
  <w:endnote w:type="continuationSeparator" w:id="0">
    <w:p w:rsidR="00937CEA" w:rsidRDefault="00937CEA" w:rsidP="00C07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841" w:rsidRPr="00391BFB" w:rsidRDefault="00C85CE5" w:rsidP="0019442A">
    <w:pPr>
      <w:pStyle w:val="a5"/>
      <w:framePr w:wrap="around" w:vAnchor="text" w:hAnchor="margin" w:xAlign="outside" w:y="1"/>
      <w:rPr>
        <w:rStyle w:val="a6"/>
        <w:sz w:val="21"/>
        <w:szCs w:val="21"/>
      </w:rPr>
    </w:pPr>
    <w:r>
      <w:rPr>
        <w:rStyle w:val="a6"/>
        <w:sz w:val="21"/>
        <w:szCs w:val="21"/>
      </w:rPr>
      <w:t>—</w:t>
    </w:r>
    <w:r>
      <w:rPr>
        <w:rStyle w:val="a6"/>
        <w:rFonts w:hint="eastAsia"/>
        <w:sz w:val="21"/>
        <w:szCs w:val="21"/>
      </w:rPr>
      <w:t xml:space="preserve"> </w:t>
    </w:r>
    <w:r w:rsidR="00254040" w:rsidRPr="00391BFB">
      <w:rPr>
        <w:rStyle w:val="a6"/>
        <w:sz w:val="21"/>
        <w:szCs w:val="21"/>
      </w:rPr>
      <w:fldChar w:fldCharType="begin"/>
    </w:r>
    <w:r w:rsidRPr="00391BFB">
      <w:rPr>
        <w:rStyle w:val="a6"/>
        <w:sz w:val="21"/>
        <w:szCs w:val="21"/>
      </w:rPr>
      <w:instrText xml:space="preserve">PAGE  </w:instrText>
    </w:r>
    <w:r w:rsidR="00254040" w:rsidRPr="00391BFB">
      <w:rPr>
        <w:rStyle w:val="a6"/>
        <w:sz w:val="21"/>
        <w:szCs w:val="21"/>
      </w:rPr>
      <w:fldChar w:fldCharType="separate"/>
    </w:r>
    <w:r w:rsidR="00F82BA5">
      <w:rPr>
        <w:rStyle w:val="a6"/>
        <w:noProof/>
        <w:sz w:val="21"/>
        <w:szCs w:val="21"/>
      </w:rPr>
      <w:t>14</w:t>
    </w:r>
    <w:r w:rsidR="00254040" w:rsidRPr="00391BFB">
      <w:rPr>
        <w:rStyle w:val="a6"/>
        <w:sz w:val="21"/>
        <w:szCs w:val="21"/>
      </w:rPr>
      <w:fldChar w:fldCharType="end"/>
    </w:r>
    <w:r>
      <w:rPr>
        <w:rStyle w:val="a6"/>
        <w:rFonts w:hint="eastAsia"/>
        <w:sz w:val="21"/>
        <w:szCs w:val="21"/>
      </w:rPr>
      <w:t xml:space="preserve"> </w:t>
    </w:r>
    <w:r w:rsidRPr="00001841">
      <w:rPr>
        <w:rStyle w:val="a6"/>
        <w:sz w:val="21"/>
        <w:szCs w:val="21"/>
      </w:rPr>
      <w:t>—</w:t>
    </w:r>
  </w:p>
  <w:p w:rsidR="00001841" w:rsidRDefault="00937CEA" w:rsidP="00391BF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EA" w:rsidRDefault="00937CEA" w:rsidP="00C079FD">
      <w:r>
        <w:separator/>
      </w:r>
    </w:p>
  </w:footnote>
  <w:footnote w:type="continuationSeparator" w:id="0">
    <w:p w:rsidR="00937CEA" w:rsidRDefault="00937CEA" w:rsidP="00C07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79FD"/>
    <w:rsid w:val="00254040"/>
    <w:rsid w:val="004A5F17"/>
    <w:rsid w:val="00531383"/>
    <w:rsid w:val="00626E1A"/>
    <w:rsid w:val="007C13D1"/>
    <w:rsid w:val="008D7CC1"/>
    <w:rsid w:val="00937CEA"/>
    <w:rsid w:val="00C079FD"/>
    <w:rsid w:val="00C85CE5"/>
    <w:rsid w:val="00E707FF"/>
    <w:rsid w:val="00EC6FD1"/>
    <w:rsid w:val="00F82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9FD"/>
    <w:pPr>
      <w:widowControl w:val="0"/>
      <w:jc w:val="both"/>
    </w:pPr>
    <w:rPr>
      <w:kern w:val="2"/>
      <w:sz w:val="28"/>
      <w:szCs w:val="24"/>
    </w:rPr>
  </w:style>
  <w:style w:type="paragraph" w:styleId="2">
    <w:name w:val="heading 2"/>
    <w:basedOn w:val="a"/>
    <w:next w:val="a"/>
    <w:link w:val="2Char"/>
    <w:qFormat/>
    <w:rsid w:val="00C079FD"/>
    <w:pPr>
      <w:keepNext/>
      <w:keepLines/>
      <w:spacing w:line="480" w:lineRule="auto"/>
      <w:jc w:val="center"/>
      <w:outlineLvl w:val="1"/>
    </w:pPr>
    <w:rPr>
      <w:rFonts w:ascii="Arial" w:eastAsia="黑体" w:hAnsi="Arial"/>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5F17"/>
    <w:pPr>
      <w:ind w:leftChars="200" w:left="480"/>
      <w:jc w:val="left"/>
    </w:pPr>
    <w:rPr>
      <w:rFonts w:ascii="Calibri" w:eastAsia="PMingLiU" w:hAnsi="Calibri"/>
      <w:sz w:val="24"/>
      <w:szCs w:val="22"/>
      <w:lang w:eastAsia="zh-TW"/>
    </w:rPr>
  </w:style>
  <w:style w:type="paragraph" w:styleId="a4">
    <w:name w:val="header"/>
    <w:basedOn w:val="a"/>
    <w:link w:val="Char"/>
    <w:uiPriority w:val="99"/>
    <w:semiHidden/>
    <w:unhideWhenUsed/>
    <w:rsid w:val="00C079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079FD"/>
    <w:rPr>
      <w:kern w:val="2"/>
      <w:sz w:val="18"/>
      <w:szCs w:val="18"/>
    </w:rPr>
  </w:style>
  <w:style w:type="paragraph" w:styleId="a5">
    <w:name w:val="footer"/>
    <w:basedOn w:val="a"/>
    <w:link w:val="Char0"/>
    <w:unhideWhenUsed/>
    <w:rsid w:val="00C079FD"/>
    <w:pPr>
      <w:tabs>
        <w:tab w:val="center" w:pos="4153"/>
        <w:tab w:val="right" w:pos="8306"/>
      </w:tabs>
      <w:snapToGrid w:val="0"/>
      <w:jc w:val="left"/>
    </w:pPr>
    <w:rPr>
      <w:sz w:val="18"/>
      <w:szCs w:val="18"/>
    </w:rPr>
  </w:style>
  <w:style w:type="character" w:customStyle="1" w:styleId="Char0">
    <w:name w:val="页脚 Char"/>
    <w:basedOn w:val="a0"/>
    <w:link w:val="a5"/>
    <w:rsid w:val="00C079FD"/>
    <w:rPr>
      <w:kern w:val="2"/>
      <w:sz w:val="18"/>
      <w:szCs w:val="18"/>
    </w:rPr>
  </w:style>
  <w:style w:type="character" w:customStyle="1" w:styleId="2Char">
    <w:name w:val="标题 2 Char"/>
    <w:basedOn w:val="a0"/>
    <w:link w:val="2"/>
    <w:rsid w:val="00C079FD"/>
    <w:rPr>
      <w:rFonts w:ascii="Arial" w:eastAsia="黑体" w:hAnsi="Arial"/>
      <w:bCs/>
      <w:kern w:val="2"/>
      <w:sz w:val="24"/>
      <w:szCs w:val="32"/>
    </w:rPr>
  </w:style>
  <w:style w:type="character" w:styleId="a6">
    <w:name w:val="page number"/>
    <w:basedOn w:val="a0"/>
    <w:rsid w:val="00C079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837</Words>
  <Characters>4777</Characters>
  <Application>Microsoft Office Word</Application>
  <DocSecurity>0</DocSecurity>
  <Lines>39</Lines>
  <Paragraphs>11</Paragraphs>
  <ScaleCrop>false</ScaleCrop>
  <Company>微软中国</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吴文斌</dc:creator>
  <cp:keywords/>
  <dc:description/>
  <cp:lastModifiedBy>吴文斌</cp:lastModifiedBy>
  <cp:revision>3</cp:revision>
  <dcterms:created xsi:type="dcterms:W3CDTF">2022-02-07T07:43:00Z</dcterms:created>
  <dcterms:modified xsi:type="dcterms:W3CDTF">2022-02-07T08:24:00Z</dcterms:modified>
</cp:coreProperties>
</file>